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A" w:rsidRPr="00B4358A" w:rsidRDefault="00B4358A" w:rsidP="00B4358A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jc w:val="center"/>
        <w:rPr>
          <w:rFonts w:cs="Times New Roman"/>
          <w:b/>
          <w:color w:val="E36C0A" w:themeColor="accent6" w:themeShade="BF"/>
        </w:rPr>
      </w:pPr>
      <w:r w:rsidRPr="00B4358A">
        <w:rPr>
          <w:rFonts w:cs="Times New Roman"/>
          <w:b/>
          <w:color w:val="E36C0A" w:themeColor="accent6" w:themeShade="BF"/>
        </w:rPr>
        <w:t>Réforme territoriale de l’Etat</w:t>
      </w:r>
    </w:p>
    <w:p w:rsidR="00B4358A" w:rsidRPr="00B4358A" w:rsidRDefault="00B4358A" w:rsidP="00B4358A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jc w:val="center"/>
        <w:rPr>
          <w:rFonts w:cs="Times New Roman"/>
          <w:b/>
          <w:color w:val="E36C0A" w:themeColor="accent6" w:themeShade="BF"/>
        </w:rPr>
      </w:pPr>
      <w:r w:rsidRPr="00B4358A">
        <w:rPr>
          <w:rFonts w:cs="Times New Roman"/>
          <w:b/>
          <w:color w:val="E36C0A" w:themeColor="accent6" w:themeShade="BF"/>
        </w:rPr>
        <w:t>Procédures de versement des indemnités instituées par le décret n°2015-1120 du 4 septembre 2015 relatif aux mesures d’accompagnement indemnitaire des réorganisations de service liées à la nouvelle organisation territoriale de l’Etat</w:t>
      </w:r>
    </w:p>
    <w:p w:rsidR="00B4358A" w:rsidRDefault="00B4358A" w:rsidP="00A47B68">
      <w:pPr>
        <w:jc w:val="both"/>
        <w:rPr>
          <w:rFonts w:cs="Times New Roman"/>
        </w:rPr>
      </w:pPr>
      <w:r w:rsidRPr="00B4358A">
        <w:rPr>
          <w:rFonts w:cs="Times New Roman"/>
        </w:rPr>
        <w:t>Cette fiche</w:t>
      </w:r>
      <w:r>
        <w:rPr>
          <w:rFonts w:cs="Times New Roman"/>
        </w:rPr>
        <w:t xml:space="preserve">, </w:t>
      </w:r>
      <w:r w:rsidRPr="00B4358A">
        <w:rPr>
          <w:rFonts w:cs="Times New Roman"/>
        </w:rPr>
        <w:t>destinée aux gestionnaires RH et paie</w:t>
      </w:r>
      <w:r>
        <w:rPr>
          <w:rFonts w:cs="Times New Roman"/>
        </w:rPr>
        <w:t>, vise à préciser les modalités de versement et de financement des dispositifs indemnitaires d’accompagnement des réorganisations des services de l’Etat dans les régions fusionnées au 1</w:t>
      </w:r>
      <w:r w:rsidRPr="00B4358A">
        <w:rPr>
          <w:rFonts w:cs="Times New Roman"/>
          <w:vertAlign w:val="superscript"/>
        </w:rPr>
        <w:t>er</w:t>
      </w:r>
      <w:r>
        <w:rPr>
          <w:rFonts w:cs="Times New Roman"/>
        </w:rPr>
        <w:t xml:space="preserve"> janvier 2016.</w:t>
      </w:r>
    </w:p>
    <w:p w:rsidR="0078164E" w:rsidRPr="00B4358A" w:rsidRDefault="0078164E" w:rsidP="00A47B68">
      <w:pPr>
        <w:jc w:val="both"/>
        <w:rPr>
          <w:rFonts w:cs="Times New Roman"/>
        </w:rPr>
      </w:pPr>
    </w:p>
    <w:p w:rsidR="00A47B68" w:rsidRPr="00B4358A" w:rsidRDefault="00A47B68" w:rsidP="00B4358A">
      <w:pPr>
        <w:jc w:val="both"/>
        <w:rPr>
          <w:rFonts w:cs="Times New Roman"/>
          <w:b/>
          <w:color w:val="E36C0A" w:themeColor="accent6" w:themeShade="BF"/>
          <w:u w:val="single"/>
        </w:rPr>
      </w:pPr>
      <w:r w:rsidRPr="00B4358A">
        <w:rPr>
          <w:rFonts w:cs="Times New Roman"/>
          <w:b/>
          <w:color w:val="E36C0A" w:themeColor="accent6" w:themeShade="BF"/>
          <w:u w:val="single"/>
        </w:rPr>
        <w:t>Quelle est la procédure de versement de la PARRE</w:t>
      </w:r>
      <w:r w:rsidR="004C127B">
        <w:rPr>
          <w:rFonts w:cs="Times New Roman"/>
          <w:b/>
          <w:color w:val="E36C0A" w:themeColor="accent6" w:themeShade="BF"/>
          <w:u w:val="single"/>
        </w:rPr>
        <w:t xml:space="preserve"> et de l’IDV</w:t>
      </w:r>
      <w:r w:rsidRPr="00B4358A">
        <w:rPr>
          <w:rFonts w:cs="Times New Roman"/>
          <w:b/>
          <w:color w:val="E36C0A" w:themeColor="accent6" w:themeShade="BF"/>
          <w:u w:val="single"/>
        </w:rPr>
        <w:t> ?</w:t>
      </w:r>
    </w:p>
    <w:p w:rsidR="00A47B68" w:rsidRDefault="00A47B68" w:rsidP="00B4358A">
      <w:pPr>
        <w:jc w:val="both"/>
        <w:rPr>
          <w:rFonts w:cs="Times New Roman"/>
        </w:rPr>
      </w:pPr>
      <w:r>
        <w:rPr>
          <w:rFonts w:cs="Times New Roman"/>
        </w:rPr>
        <w:t>La réorganisation étant à l’initiative de l’administration, c’est celle-ci qui vérifie l’éligibilité des agents et leur propose le versement des mesures indemnitaires</w:t>
      </w:r>
      <w:r w:rsidR="00350CD7">
        <w:rPr>
          <w:rFonts w:cs="Times New Roman"/>
        </w:rPr>
        <w:t xml:space="preserve">. La procédure ci-dessous, qui a vocation à être adaptée par les employeurs, doit contribuer à garantir </w:t>
      </w:r>
      <w:r w:rsidR="00F2590A">
        <w:rPr>
          <w:rFonts w:cs="Times New Roman"/>
        </w:rPr>
        <w:t>un</w:t>
      </w:r>
      <w:r w:rsidR="00350CD7">
        <w:rPr>
          <w:rFonts w:cs="Times New Roman"/>
        </w:rPr>
        <w:t xml:space="preserve"> traitement </w:t>
      </w:r>
      <w:r w:rsidR="00750595">
        <w:rPr>
          <w:rFonts w:cs="Times New Roman"/>
        </w:rPr>
        <w:t xml:space="preserve">en égalité </w:t>
      </w:r>
      <w:r w:rsidR="00350CD7">
        <w:rPr>
          <w:rFonts w:cs="Times New Roman"/>
        </w:rPr>
        <w:t>entre les agents relevant de différentes administrations.</w:t>
      </w:r>
      <w:r w:rsidR="00F2590A">
        <w:rPr>
          <w:rFonts w:cs="Times New Roman"/>
        </w:rPr>
        <w:t xml:space="preserve"> Outre les pièces justificatives exigées par le comptable pour la mise en paiement (</w:t>
      </w:r>
      <w:r w:rsidR="00F2590A" w:rsidRPr="00F2590A">
        <w:rPr>
          <w:rFonts w:cs="Times New Roman"/>
          <w:i/>
        </w:rPr>
        <w:t>cf. infra</w:t>
      </w:r>
      <w:r w:rsidR="00F2590A">
        <w:rPr>
          <w:rFonts w:cs="Times New Roman"/>
        </w:rPr>
        <w:t xml:space="preserve">), elle vise également à sécuriser </w:t>
      </w:r>
      <w:r w:rsidR="00621C91">
        <w:rPr>
          <w:rFonts w:cs="Times New Roman"/>
        </w:rPr>
        <w:t>l’ensemble des procédures de versement.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2590A" w:rsidRPr="00F2590A" w:rsidTr="00F2590A">
        <w:tc>
          <w:tcPr>
            <w:tcW w:w="4606" w:type="dxa"/>
          </w:tcPr>
          <w:p w:rsidR="00F2590A" w:rsidRPr="00F2590A" w:rsidRDefault="00F2590A" w:rsidP="00B4358A">
            <w:pPr>
              <w:jc w:val="both"/>
              <w:rPr>
                <w:rFonts w:cs="Times New Roman"/>
                <w:b/>
                <w:i/>
              </w:rPr>
            </w:pPr>
            <w:r w:rsidRPr="00F2590A">
              <w:rPr>
                <w:rFonts w:cs="Times New Roman"/>
                <w:b/>
                <w:i/>
              </w:rPr>
              <w:t>Objectifs</w:t>
            </w:r>
          </w:p>
        </w:tc>
        <w:tc>
          <w:tcPr>
            <w:tcW w:w="4606" w:type="dxa"/>
          </w:tcPr>
          <w:p w:rsidR="00F2590A" w:rsidRPr="00F2590A" w:rsidRDefault="00F2590A" w:rsidP="00F2590A">
            <w:pPr>
              <w:jc w:val="both"/>
              <w:rPr>
                <w:rFonts w:cs="Times New Roman"/>
                <w:b/>
                <w:i/>
              </w:rPr>
            </w:pPr>
            <w:r w:rsidRPr="00F2590A">
              <w:rPr>
                <w:rFonts w:cs="Times New Roman"/>
                <w:b/>
                <w:i/>
              </w:rPr>
              <w:t>Actes à établir et pièces à fournir</w:t>
            </w:r>
            <w:r w:rsidR="00D236B7">
              <w:rPr>
                <w:rFonts w:cs="Times New Roman"/>
                <w:b/>
                <w:i/>
              </w:rPr>
              <w:t xml:space="preserve"> par l’agent </w:t>
            </w:r>
          </w:p>
        </w:tc>
      </w:tr>
      <w:tr w:rsidR="00F2590A" w:rsidRPr="00F2590A" w:rsidTr="00512297">
        <w:tc>
          <w:tcPr>
            <w:tcW w:w="9212" w:type="dxa"/>
            <w:gridSpan w:val="2"/>
          </w:tcPr>
          <w:p w:rsidR="00F2590A" w:rsidRPr="00F2590A" w:rsidRDefault="00F2590A" w:rsidP="00F2590A">
            <w:pPr>
              <w:pStyle w:val="Paragraphedeliste"/>
              <w:numPr>
                <w:ilvl w:val="0"/>
                <w:numId w:val="10"/>
              </w:numPr>
              <w:ind w:left="426"/>
              <w:jc w:val="both"/>
              <w:rPr>
                <w:rFonts w:cs="Times New Roman"/>
                <w:b/>
              </w:rPr>
            </w:pPr>
            <w:r w:rsidRPr="00F2590A">
              <w:rPr>
                <w:rFonts w:cs="Times New Roman"/>
                <w:b/>
              </w:rPr>
              <w:t>Recensement et information des agents éligibles à la PARRE</w:t>
            </w:r>
          </w:p>
        </w:tc>
      </w:tr>
      <w:tr w:rsidR="00F2590A" w:rsidTr="00F2590A">
        <w:tc>
          <w:tcPr>
            <w:tcW w:w="4606" w:type="dxa"/>
          </w:tcPr>
          <w:p w:rsidR="00F2590A" w:rsidRPr="001111EE" w:rsidRDefault="001111EE" w:rsidP="00665A2E">
            <w:pPr>
              <w:jc w:val="both"/>
              <w:rPr>
                <w:rFonts w:cs="Times New Roman"/>
                <w:i/>
              </w:rPr>
            </w:pPr>
            <w:r w:rsidRPr="001111EE">
              <w:rPr>
                <w:rFonts w:cs="Times New Roman"/>
                <w:i/>
              </w:rPr>
              <w:t>S’agissant des critères d’éligibilité, consulter la FAQ réforme territoriale acteurs RH</w:t>
            </w:r>
          </w:p>
        </w:tc>
        <w:tc>
          <w:tcPr>
            <w:tcW w:w="4606" w:type="dxa"/>
          </w:tcPr>
          <w:p w:rsidR="00F2590A" w:rsidRDefault="00F2590A" w:rsidP="00665A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L’administration remet aux agents concernés un formulaire</w:t>
            </w:r>
            <w:r w:rsidR="00D236B7">
              <w:rPr>
                <w:rFonts w:cs="Times New Roman"/>
              </w:rPr>
              <w:t xml:space="preserve"> (en PJ)</w:t>
            </w:r>
            <w:r>
              <w:rPr>
                <w:rFonts w:cs="Times New Roman"/>
              </w:rPr>
              <w:t xml:space="preserve"> de demande de versement de la PARRE.</w:t>
            </w:r>
          </w:p>
        </w:tc>
      </w:tr>
      <w:tr w:rsidR="005D437D" w:rsidTr="00B64538">
        <w:tc>
          <w:tcPr>
            <w:tcW w:w="9212" w:type="dxa"/>
            <w:gridSpan w:val="2"/>
          </w:tcPr>
          <w:p w:rsidR="005D437D" w:rsidRPr="005D437D" w:rsidRDefault="005D437D" w:rsidP="005D437D">
            <w:pPr>
              <w:pStyle w:val="Paragraphedeliste"/>
              <w:numPr>
                <w:ilvl w:val="0"/>
                <w:numId w:val="10"/>
              </w:numPr>
              <w:ind w:left="426"/>
              <w:rPr>
                <w:rFonts w:cs="Times New Roman"/>
                <w:b/>
              </w:rPr>
            </w:pPr>
            <w:r w:rsidRPr="005D437D">
              <w:rPr>
                <w:rFonts w:cs="Times New Roman"/>
                <w:b/>
              </w:rPr>
              <w:t>Demande d’attribution de la PARRE</w:t>
            </w:r>
          </w:p>
        </w:tc>
      </w:tr>
      <w:tr w:rsidR="00F2590A" w:rsidTr="00F2590A">
        <w:tc>
          <w:tcPr>
            <w:tcW w:w="4606" w:type="dxa"/>
          </w:tcPr>
          <w:p w:rsidR="00F2590A" w:rsidRDefault="00352B14" w:rsidP="00665A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Préciser la situation de l’agent au regard de l’attribution de la prime : situation du conjoint (cesse son activité, est également concerné par la réorganisation régionale), versement fractionné</w:t>
            </w:r>
          </w:p>
        </w:tc>
        <w:tc>
          <w:tcPr>
            <w:tcW w:w="4606" w:type="dxa"/>
          </w:tcPr>
          <w:p w:rsidR="003A2B7F" w:rsidRDefault="003A2B7F" w:rsidP="00665A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Demande complétée</w:t>
            </w:r>
            <w:r w:rsidR="00D236B7">
              <w:rPr>
                <w:rFonts w:cs="Times New Roman"/>
              </w:rPr>
              <w:t>.</w:t>
            </w:r>
          </w:p>
          <w:p w:rsidR="00F2590A" w:rsidRDefault="003A2B7F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 w:rsidRPr="003A2B7F">
              <w:rPr>
                <w:rFonts w:cs="Times New Roman"/>
              </w:rPr>
              <w:t>Dans le cas où le conjoint est également concerné par la réorganisation : déclaration sur l’honneur des deux conjoints mentionnant le bénéficiaire de la prime.</w:t>
            </w:r>
          </w:p>
          <w:p w:rsidR="00232FFD" w:rsidRPr="003A2B7F" w:rsidRDefault="00232FFD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En cas d’enfants à charge : copie du livret de famille</w:t>
            </w:r>
            <w:r w:rsidR="002966FB">
              <w:rPr>
                <w:rFonts w:cs="Times New Roman"/>
              </w:rPr>
              <w:t xml:space="preserve"> ou jugement de divorce ou attestation CAF.</w:t>
            </w:r>
          </w:p>
          <w:p w:rsidR="003A2B7F" w:rsidRDefault="003A2B7F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 w:rsidRPr="003A2B7F">
              <w:rPr>
                <w:rFonts w:cs="Times New Roman"/>
              </w:rPr>
              <w:t>Dans le cas où le conjoint doit cesser son activité : pièces justifiant la cessation d’activité.</w:t>
            </w:r>
          </w:p>
          <w:p w:rsidR="003A2B7F" w:rsidRDefault="003A2B7F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Attestation de déménagement</w:t>
            </w:r>
          </w:p>
          <w:p w:rsidR="003A2B7F" w:rsidRDefault="003A2B7F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Attestation de prise à bail d’un logement distinct</w:t>
            </w:r>
          </w:p>
          <w:p w:rsidR="003A2B7F" w:rsidRPr="003A2B7F" w:rsidRDefault="003A2B7F" w:rsidP="00665A2E">
            <w:pPr>
              <w:pStyle w:val="Paragraphedeliste"/>
              <w:numPr>
                <w:ilvl w:val="0"/>
                <w:numId w:val="11"/>
              </w:numPr>
              <w:ind w:left="35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Attestation de participation à une ou des formations d’adaptation au poste</w:t>
            </w:r>
            <w:r w:rsidR="00D236B7">
              <w:rPr>
                <w:rFonts w:cs="Times New Roman"/>
              </w:rPr>
              <w:t xml:space="preserve"> d’une durée d’au moins cinq journées</w:t>
            </w:r>
            <w:r>
              <w:rPr>
                <w:rFonts w:cs="Times New Roman"/>
              </w:rPr>
              <w:t>, visées par le nouveau responsable hiérarchique</w:t>
            </w:r>
          </w:p>
          <w:p w:rsidR="003A2B7F" w:rsidRDefault="003A2B7F" w:rsidP="00665A2E">
            <w:pPr>
              <w:jc w:val="both"/>
              <w:rPr>
                <w:rFonts w:cs="Times New Roman"/>
              </w:rPr>
            </w:pPr>
            <w:r w:rsidRPr="003A2B7F">
              <w:rPr>
                <w:rFonts w:cs="Times New Roman"/>
                <w:i/>
              </w:rPr>
              <w:t>NB : la forme de ces pièces est définie par l’employeur</w:t>
            </w:r>
            <w:r>
              <w:rPr>
                <w:rFonts w:cs="Times New Roman"/>
              </w:rPr>
              <w:t>.</w:t>
            </w:r>
          </w:p>
        </w:tc>
      </w:tr>
    </w:tbl>
    <w:p w:rsidR="00665A2E" w:rsidRDefault="00665A2E">
      <w:r>
        <w:br w:type="page"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D437D" w:rsidTr="005C526B">
        <w:tc>
          <w:tcPr>
            <w:tcW w:w="9212" w:type="dxa"/>
            <w:gridSpan w:val="2"/>
          </w:tcPr>
          <w:p w:rsidR="005D437D" w:rsidRPr="005D437D" w:rsidRDefault="005D437D" w:rsidP="005D437D">
            <w:pPr>
              <w:pStyle w:val="Paragraphedeliste"/>
              <w:numPr>
                <w:ilvl w:val="0"/>
                <w:numId w:val="10"/>
              </w:numPr>
              <w:ind w:left="426"/>
              <w:rPr>
                <w:rFonts w:cs="Times New Roman"/>
                <w:b/>
              </w:rPr>
            </w:pPr>
            <w:r w:rsidRPr="005D437D">
              <w:rPr>
                <w:rFonts w:cs="Times New Roman"/>
                <w:b/>
              </w:rPr>
              <w:lastRenderedPageBreak/>
              <w:t xml:space="preserve">Arrêté attributif </w:t>
            </w:r>
            <w:r w:rsidRPr="005D437D">
              <w:rPr>
                <w:rFonts w:cs="Times New Roman"/>
                <w:b/>
                <w:i/>
              </w:rPr>
              <w:t>établi une fois la mobilité devenue définitive</w:t>
            </w:r>
            <w:r w:rsidR="00881464">
              <w:rPr>
                <w:rFonts w:cs="Times New Roman"/>
              </w:rPr>
              <w:t xml:space="preserve"> (PARRE géographique)</w:t>
            </w:r>
          </w:p>
        </w:tc>
      </w:tr>
      <w:tr w:rsidR="00F2590A" w:rsidTr="00F2590A">
        <w:tc>
          <w:tcPr>
            <w:tcW w:w="4606" w:type="dxa"/>
          </w:tcPr>
          <w:p w:rsidR="003A2B7F" w:rsidRPr="003A2B7F" w:rsidRDefault="003A2B7F" w:rsidP="003A2B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Cf. PJ à transmettre au comptable.</w:t>
            </w:r>
          </w:p>
          <w:p w:rsidR="00F2590A" w:rsidRDefault="003A2B7F" w:rsidP="005E31E7">
            <w:pPr>
              <w:jc w:val="both"/>
              <w:rPr>
                <w:rFonts w:cs="Times New Roman"/>
              </w:rPr>
            </w:pPr>
            <w:r w:rsidRPr="003A2B7F">
              <w:rPr>
                <w:rFonts w:cs="Times New Roman"/>
              </w:rPr>
              <w:t xml:space="preserve">Si un complément à la mobilité du conjoint est sollicité, l’administration établit un arrêté attributif spécifique visant l’article 4 du décret n°2015-1120 </w:t>
            </w:r>
            <w:r w:rsidR="005E31E7">
              <w:rPr>
                <w:rFonts w:cs="Times New Roman"/>
              </w:rPr>
              <w:t>(cf. PJ à transmettre au comptable).</w:t>
            </w:r>
          </w:p>
        </w:tc>
        <w:tc>
          <w:tcPr>
            <w:tcW w:w="4606" w:type="dxa"/>
          </w:tcPr>
          <w:p w:rsidR="00F2590A" w:rsidRDefault="00F2590A" w:rsidP="00F2590A">
            <w:pPr>
              <w:rPr>
                <w:rFonts w:cs="Times New Roman"/>
              </w:rPr>
            </w:pPr>
          </w:p>
        </w:tc>
      </w:tr>
      <w:tr w:rsidR="00881464" w:rsidTr="003646D5">
        <w:tc>
          <w:tcPr>
            <w:tcW w:w="9212" w:type="dxa"/>
            <w:gridSpan w:val="2"/>
          </w:tcPr>
          <w:p w:rsidR="00881464" w:rsidRPr="00881464" w:rsidRDefault="00881464" w:rsidP="00881464">
            <w:pPr>
              <w:pStyle w:val="Paragraphedeliste"/>
              <w:numPr>
                <w:ilvl w:val="0"/>
                <w:numId w:val="10"/>
              </w:numPr>
              <w:ind w:left="426"/>
              <w:rPr>
                <w:rFonts w:cs="Times New Roman"/>
              </w:rPr>
            </w:pPr>
            <w:r w:rsidRPr="00881464">
              <w:rPr>
                <w:rFonts w:cs="Times New Roman"/>
                <w:b/>
              </w:rPr>
              <w:t xml:space="preserve">Arrêté attributif </w:t>
            </w:r>
            <w:r w:rsidRPr="005E31E7">
              <w:rPr>
                <w:rFonts w:cs="Times New Roman"/>
                <w:b/>
                <w:i/>
              </w:rPr>
              <w:t>établi une fois la mobilité devenue définitive</w:t>
            </w:r>
            <w:r w:rsidRPr="00881464">
              <w:rPr>
                <w:rFonts w:cs="Times New Roman"/>
                <w:b/>
              </w:rPr>
              <w:t xml:space="preserve"> (PARRE fonctionnelle)</w:t>
            </w:r>
          </w:p>
        </w:tc>
      </w:tr>
      <w:tr w:rsidR="005D437D" w:rsidTr="00F2590A">
        <w:tc>
          <w:tcPr>
            <w:tcW w:w="4606" w:type="dxa"/>
          </w:tcPr>
          <w:p w:rsidR="005D437D" w:rsidRDefault="005E31E7" w:rsidP="00F2590A">
            <w:pPr>
              <w:rPr>
                <w:rFonts w:cs="Times New Roman"/>
              </w:rPr>
            </w:pPr>
            <w:r>
              <w:rPr>
                <w:rFonts w:cs="Times New Roman"/>
              </w:rPr>
              <w:t>Cf. PJ à transmettre au comptable.</w:t>
            </w:r>
          </w:p>
        </w:tc>
        <w:tc>
          <w:tcPr>
            <w:tcW w:w="4606" w:type="dxa"/>
          </w:tcPr>
          <w:p w:rsidR="005D437D" w:rsidRDefault="005D437D" w:rsidP="00F2590A">
            <w:pPr>
              <w:rPr>
                <w:rFonts w:cs="Times New Roman"/>
              </w:rPr>
            </w:pPr>
          </w:p>
        </w:tc>
      </w:tr>
    </w:tbl>
    <w:p w:rsidR="00E325C8" w:rsidRDefault="00E325C8" w:rsidP="00A47B68">
      <w:pPr>
        <w:ind w:firstLine="708"/>
        <w:jc w:val="both"/>
        <w:rPr>
          <w:rFonts w:cs="Times New Roman"/>
        </w:rPr>
      </w:pPr>
    </w:p>
    <w:p w:rsidR="00611CC0" w:rsidRDefault="00611CC0" w:rsidP="00F35732">
      <w:pPr>
        <w:jc w:val="both"/>
        <w:rPr>
          <w:rFonts w:cs="Times New Roman"/>
        </w:rPr>
      </w:pPr>
      <w:r w:rsidRPr="00611CC0">
        <w:rPr>
          <w:rFonts w:cs="Times New Roman"/>
        </w:rPr>
        <w:t>Pour l’</w:t>
      </w:r>
      <w:r w:rsidR="004C127B">
        <w:rPr>
          <w:rFonts w:cs="Times New Roman"/>
        </w:rPr>
        <w:t>indemnité de départ volontaire</w:t>
      </w:r>
      <w:r w:rsidRPr="00611CC0">
        <w:rPr>
          <w:rFonts w:cs="Times New Roman"/>
        </w:rPr>
        <w:t xml:space="preserve">, </w:t>
      </w:r>
      <w:r w:rsidR="004C127B">
        <w:rPr>
          <w:rFonts w:cs="Times New Roman"/>
        </w:rPr>
        <w:t xml:space="preserve">le cadre réglementaire du décret n°2008-368 </w:t>
      </w:r>
      <w:r w:rsidR="004C127B" w:rsidRPr="004C127B">
        <w:rPr>
          <w:rFonts w:cs="Times New Roman"/>
        </w:rPr>
        <w:t>du 17 avril 2008 instituant une indemnité de départ volontair</w:t>
      </w:r>
      <w:r w:rsidR="004C127B">
        <w:rPr>
          <w:rFonts w:cs="Times New Roman"/>
        </w:rPr>
        <w:t xml:space="preserve">e s’applique, avec </w:t>
      </w:r>
      <w:r w:rsidR="00E71446">
        <w:rPr>
          <w:rFonts w:cs="Times New Roman"/>
        </w:rPr>
        <w:t>deux spécificités : d’une part,</w:t>
      </w:r>
      <w:r w:rsidRPr="00611CC0">
        <w:rPr>
          <w:rFonts w:cs="Times New Roman"/>
        </w:rPr>
        <w:t xml:space="preserve"> la dérogation de se situer à deux années au moins de l’âge d’ouverture des droits à pension</w:t>
      </w:r>
      <w:r w:rsidR="004C127B">
        <w:rPr>
          <w:rFonts w:cs="Times New Roman"/>
        </w:rPr>
        <w:t xml:space="preserve"> contre cinq années dans le dispositif général</w:t>
      </w:r>
      <w:r w:rsidR="009062A1">
        <w:rPr>
          <w:rFonts w:cs="Times New Roman"/>
        </w:rPr>
        <w:t>, et d’autre part, le calcul du montant selon les modalités prévues par l’article 7 du décret n</w:t>
      </w:r>
      <w:r w:rsidR="009062A1">
        <w:rPr>
          <w:rFonts w:cstheme="minorHAnsi"/>
        </w:rPr>
        <w:t xml:space="preserve">°2015-1120, soit </w:t>
      </w:r>
      <w:r w:rsidR="009062A1">
        <w:t>égal à un mois de rémunération par année d’ancienneté</w:t>
      </w:r>
      <w:r w:rsidR="009062A1">
        <w:rPr>
          <w:rStyle w:val="Appelnotedebasdep"/>
        </w:rPr>
        <w:footnoteReference w:id="1"/>
      </w:r>
      <w:r w:rsidR="009062A1">
        <w:t>, dans la limite de deux ans</w:t>
      </w:r>
      <w:r w:rsidRPr="00611CC0">
        <w:rPr>
          <w:rFonts w:cs="Times New Roman"/>
        </w:rPr>
        <w:t>.</w:t>
      </w:r>
      <w:r w:rsidR="004C127B">
        <w:rPr>
          <w:rFonts w:cs="Times New Roman"/>
        </w:rPr>
        <w:t xml:space="preserve"> L’arrêté mentionné à l’article 2 du décret n°2008-368 précité est le même que celui ouvrant droit à la PARRE.</w:t>
      </w:r>
    </w:p>
    <w:p w:rsidR="00B4358A" w:rsidRPr="00B4358A" w:rsidRDefault="00B4358A" w:rsidP="00B4358A">
      <w:pPr>
        <w:jc w:val="both"/>
        <w:rPr>
          <w:rFonts w:cs="Times New Roman"/>
          <w:b/>
          <w:color w:val="E36C0A" w:themeColor="accent6" w:themeShade="BF"/>
          <w:u w:val="single"/>
        </w:rPr>
      </w:pPr>
      <w:r w:rsidRPr="00B4358A">
        <w:rPr>
          <w:rFonts w:cs="Times New Roman"/>
          <w:b/>
          <w:color w:val="E36C0A" w:themeColor="accent6" w:themeShade="BF"/>
          <w:u w:val="single"/>
        </w:rPr>
        <w:t>Imputations comptables et pièces justificatives</w:t>
      </w:r>
      <w:r w:rsidR="00A3505B">
        <w:rPr>
          <w:rFonts w:cs="Times New Roman"/>
          <w:b/>
          <w:color w:val="E36C0A" w:themeColor="accent6" w:themeShade="BF"/>
          <w:u w:val="single"/>
        </w:rPr>
        <w:t xml:space="preserve"> du paiement</w:t>
      </w:r>
      <w:r w:rsidR="00D236B7">
        <w:rPr>
          <w:rFonts w:cs="Times New Roman"/>
          <w:b/>
          <w:color w:val="E36C0A" w:themeColor="accent6" w:themeShade="BF"/>
          <w:u w:val="single"/>
        </w:rPr>
        <w:t xml:space="preserve"> à fournir par l’administration</w:t>
      </w:r>
      <w:r w:rsidR="00140E13">
        <w:rPr>
          <w:rFonts w:cs="Times New Roman"/>
          <w:b/>
          <w:color w:val="E36C0A" w:themeColor="accent6" w:themeShade="BF"/>
          <w:u w:val="single"/>
        </w:rPr>
        <w:t> :</w:t>
      </w:r>
    </w:p>
    <w:tbl>
      <w:tblPr>
        <w:tblStyle w:val="Grillemoyenne3-Accent6"/>
        <w:tblW w:w="0" w:type="auto"/>
        <w:tblLook w:val="04A0"/>
      </w:tblPr>
      <w:tblGrid>
        <w:gridCol w:w="1814"/>
        <w:gridCol w:w="4815"/>
        <w:gridCol w:w="2588"/>
      </w:tblGrid>
      <w:tr w:rsidR="00A3505B" w:rsidTr="005D5074">
        <w:trPr>
          <w:cnfStyle w:val="100000000000"/>
        </w:trPr>
        <w:tc>
          <w:tcPr>
            <w:cnfStyle w:val="001000000000"/>
            <w:tcW w:w="1814" w:type="dxa"/>
          </w:tcPr>
          <w:p w:rsidR="00A3505B" w:rsidRDefault="00A3505B" w:rsidP="00A3505B">
            <w:pPr>
              <w:rPr>
                <w:rFonts w:cs="Times New Roman"/>
              </w:rPr>
            </w:pPr>
            <w:r>
              <w:rPr>
                <w:rFonts w:cs="Times New Roman"/>
              </w:rPr>
              <w:t>Type de prime</w:t>
            </w:r>
          </w:p>
        </w:tc>
        <w:tc>
          <w:tcPr>
            <w:tcW w:w="4815" w:type="dxa"/>
          </w:tcPr>
          <w:p w:rsidR="00A3505B" w:rsidRDefault="00A3505B" w:rsidP="00A3505B">
            <w:pPr>
              <w:cnfStyle w:val="100000000000"/>
              <w:rPr>
                <w:rFonts w:cs="Times New Roman"/>
              </w:rPr>
            </w:pPr>
            <w:r>
              <w:rPr>
                <w:rFonts w:cs="Times New Roman"/>
              </w:rPr>
              <w:t>Pièces justificatives à transmettre au comptable</w:t>
            </w:r>
          </w:p>
        </w:tc>
        <w:tc>
          <w:tcPr>
            <w:tcW w:w="2588" w:type="dxa"/>
          </w:tcPr>
          <w:p w:rsidR="00A3505B" w:rsidRDefault="00A3505B" w:rsidP="00A3505B">
            <w:pPr>
              <w:cnfStyle w:val="100000000000"/>
              <w:rPr>
                <w:rFonts w:cs="Times New Roman"/>
              </w:rPr>
            </w:pPr>
            <w:r>
              <w:rPr>
                <w:rFonts w:cs="Times New Roman"/>
              </w:rPr>
              <w:t>Codes éléments de rémunération</w:t>
            </w:r>
          </w:p>
        </w:tc>
      </w:tr>
      <w:tr w:rsidR="00A3505B" w:rsidTr="005D5074">
        <w:trPr>
          <w:cnfStyle w:val="000000100000"/>
        </w:trPr>
        <w:tc>
          <w:tcPr>
            <w:cnfStyle w:val="001000000000"/>
            <w:tcW w:w="1814" w:type="dxa"/>
          </w:tcPr>
          <w:p w:rsidR="00A3505B" w:rsidRDefault="00A3505B" w:rsidP="00A3505B">
            <w:pPr>
              <w:rPr>
                <w:rFonts w:cs="Times New Roman"/>
              </w:rPr>
            </w:pPr>
            <w:r>
              <w:rPr>
                <w:rFonts w:cs="Times New Roman"/>
              </w:rPr>
              <w:t>PARRE « géographique »</w:t>
            </w:r>
          </w:p>
        </w:tc>
        <w:tc>
          <w:tcPr>
            <w:tcW w:w="4815" w:type="dxa"/>
          </w:tcPr>
          <w:p w:rsidR="00A3505B" w:rsidRDefault="00A3505B" w:rsidP="0078164E">
            <w:pPr>
              <w:pStyle w:val="Paragraphedeliste"/>
              <w:numPr>
                <w:ilvl w:val="2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 w:rsidRPr="00A3505B">
              <w:rPr>
                <w:rFonts w:cs="Times New Roman"/>
              </w:rPr>
              <w:t>arrêté attributif faisant référence au 1° de l'article 2 du décret n°</w:t>
            </w:r>
            <w:r w:rsidR="002D347F">
              <w:rPr>
                <w:rFonts w:cs="Times New Roman"/>
              </w:rPr>
              <w:t> </w:t>
            </w:r>
            <w:r w:rsidRPr="00A3505B">
              <w:rPr>
                <w:rFonts w:cs="Times New Roman"/>
              </w:rPr>
              <w:t>2015-1120 du 4 septem</w:t>
            </w:r>
            <w:r w:rsidR="0078164E">
              <w:rPr>
                <w:rFonts w:cs="Times New Roman"/>
              </w:rPr>
              <w:t xml:space="preserve">bre 2015 et visant </w:t>
            </w:r>
            <w:r w:rsidRPr="00A3505B">
              <w:rPr>
                <w:rFonts w:cs="Times New Roman"/>
              </w:rPr>
              <w:t>l'arrêté fixant</w:t>
            </w:r>
            <w:r w:rsidR="0078164E">
              <w:rPr>
                <w:rFonts w:cs="Times New Roman"/>
              </w:rPr>
              <w:t xml:space="preserve"> la liste</w:t>
            </w:r>
            <w:r w:rsidRPr="00A3505B">
              <w:rPr>
                <w:rFonts w:cs="Times New Roman"/>
              </w:rPr>
              <w:t xml:space="preserve"> </w:t>
            </w:r>
            <w:r w:rsidR="0078164E">
              <w:rPr>
                <w:rFonts w:cs="Times New Roman"/>
              </w:rPr>
              <w:t>d</w:t>
            </w:r>
            <w:r w:rsidRPr="00A3505B">
              <w:rPr>
                <w:rFonts w:cs="Times New Roman"/>
              </w:rPr>
              <w:t>es opérations de réorganisations de se</w:t>
            </w:r>
            <w:r w:rsidR="0078164E">
              <w:rPr>
                <w:rFonts w:cs="Times New Roman"/>
              </w:rPr>
              <w:t>rvice ouvrant droit à la prime (1) ;</w:t>
            </w:r>
          </w:p>
          <w:p w:rsidR="00A3505B" w:rsidRPr="00A3505B" w:rsidRDefault="0078164E" w:rsidP="0078164E">
            <w:pPr>
              <w:pStyle w:val="Paragraphedeliste"/>
              <w:numPr>
                <w:ilvl w:val="2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>
              <w:rPr>
                <w:rFonts w:cs="Times New Roman"/>
              </w:rPr>
              <w:t>état liquidatif [</w:t>
            </w:r>
            <w:r w:rsidRPr="0078164E">
              <w:rPr>
                <w:rFonts w:cs="Times New Roman"/>
                <w:i/>
              </w:rPr>
              <w:t>s</w:t>
            </w:r>
            <w:r w:rsidR="00A3505B" w:rsidRPr="0078164E">
              <w:rPr>
                <w:rFonts w:cs="Times New Roman"/>
                <w:i/>
              </w:rPr>
              <w:t>'il s'agit du paiement d'une deuxième fraction, l'état liquidatif devra le mentionner et indiquer la date de pa</w:t>
            </w:r>
            <w:r w:rsidRPr="0078164E">
              <w:rPr>
                <w:rFonts w:cs="Times New Roman"/>
                <w:i/>
              </w:rPr>
              <w:t>iement de la première fraction</w:t>
            </w:r>
            <w:r>
              <w:rPr>
                <w:rFonts w:cs="Times New Roman"/>
              </w:rPr>
              <w:t>] ;</w:t>
            </w:r>
          </w:p>
          <w:p w:rsidR="0078164E" w:rsidRDefault="00A3505B" w:rsidP="0078164E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 w:rsidRPr="00A3505B">
              <w:rPr>
                <w:rFonts w:cs="Times New Roman"/>
              </w:rPr>
              <w:t>attestation de l'employeur qui précise que l'agent remplit bien la condition d'ancienneté et qu'il ne perçoit pas par ailleurs la prime de restructuration et le complément à la mobilité du conjoint prévus par le décret n°</w:t>
            </w:r>
            <w:r w:rsidR="002D347F">
              <w:rPr>
                <w:rFonts w:cs="Times New Roman"/>
              </w:rPr>
              <w:t> </w:t>
            </w:r>
            <w:r w:rsidRPr="00A3505B">
              <w:rPr>
                <w:rFonts w:cs="Times New Roman"/>
              </w:rPr>
              <w:t>2008-366 du 17 avril 2008 (codes 1491 et 1492)</w:t>
            </w:r>
            <w:r w:rsidR="0078164E">
              <w:rPr>
                <w:rFonts w:cs="Times New Roman"/>
              </w:rPr>
              <w:t> ;</w:t>
            </w:r>
          </w:p>
          <w:p w:rsidR="00750595" w:rsidRDefault="00A3505B" w:rsidP="0078164E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 w:rsidRPr="00A3505B">
              <w:rPr>
                <w:rFonts w:cs="Times New Roman"/>
              </w:rPr>
              <w:t>en cas de couple d'agents publics (mariés, pacsés ou concubins), une déclaration sur l'honneur mentionnant le bénéficiaire de la prime</w:t>
            </w:r>
            <w:r w:rsidR="00750595">
              <w:rPr>
                <w:rFonts w:cs="Times New Roman"/>
              </w:rPr>
              <w:t> ;</w:t>
            </w:r>
          </w:p>
          <w:p w:rsidR="00A3505B" w:rsidRPr="00A3505B" w:rsidRDefault="00750595" w:rsidP="0078164E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>
              <w:rPr>
                <w:rFonts w:cs="Times New Roman"/>
              </w:rPr>
              <w:t>si la date d’affectation est antérieure à l’arrêté fixant la liste des opérations de réorganisation de service, certificat administratif attestant le rattachement de la mobilité à la réorganisation territoriale de l’Etat.</w:t>
            </w:r>
          </w:p>
        </w:tc>
        <w:tc>
          <w:tcPr>
            <w:tcW w:w="2588" w:type="dxa"/>
          </w:tcPr>
          <w:p w:rsidR="00A3505B" w:rsidRPr="00A3505B" w:rsidRDefault="00A3505B" w:rsidP="00A3505B">
            <w:pPr>
              <w:cnfStyle w:val="000000100000"/>
              <w:rPr>
                <w:rFonts w:cs="Times New Roman"/>
                <w:sz w:val="18"/>
                <w:szCs w:val="18"/>
              </w:rPr>
            </w:pPr>
            <w:r w:rsidRPr="00A3505B">
              <w:rPr>
                <w:rFonts w:cs="Times New Roman"/>
                <w:sz w:val="18"/>
                <w:szCs w:val="18"/>
              </w:rPr>
              <w:t>201894 P.A.R.R. ETAT 1ERE PART  D2015-1120*04/09/2015</w:t>
            </w:r>
          </w:p>
        </w:tc>
      </w:tr>
      <w:tr w:rsidR="00A3505B" w:rsidTr="005D5074">
        <w:tc>
          <w:tcPr>
            <w:cnfStyle w:val="001000000000"/>
            <w:tcW w:w="1814" w:type="dxa"/>
          </w:tcPr>
          <w:p w:rsidR="00A3505B" w:rsidRDefault="00A3505B" w:rsidP="00A3505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PARRE « fonctionnelle »</w:t>
            </w:r>
          </w:p>
        </w:tc>
        <w:tc>
          <w:tcPr>
            <w:tcW w:w="4815" w:type="dxa"/>
          </w:tcPr>
          <w:p w:rsidR="00D236B7" w:rsidRPr="0078164E" w:rsidRDefault="0078164E" w:rsidP="0078164E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000000"/>
              <w:rPr>
                <w:rFonts w:cs="Times New Roman"/>
              </w:rPr>
            </w:pPr>
            <w:r w:rsidRPr="0078164E">
              <w:rPr>
                <w:rFonts w:cs="Times New Roman"/>
              </w:rPr>
              <w:t>arrêté attributif faisant référence au 2° de l'article 2 du décret n°</w:t>
            </w:r>
            <w:r w:rsidR="002D347F">
              <w:rPr>
                <w:rFonts w:cs="Times New Roman"/>
              </w:rPr>
              <w:t> </w:t>
            </w:r>
            <w:r w:rsidRPr="0078164E">
              <w:rPr>
                <w:rFonts w:cs="Times New Roman"/>
              </w:rPr>
              <w:t>2015-1120 du 4 septembre 2015 ;</w:t>
            </w:r>
          </w:p>
          <w:p w:rsidR="00A3505B" w:rsidRPr="00A3505B" w:rsidRDefault="0078164E" w:rsidP="0078164E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000000"/>
              <w:rPr>
                <w:rFonts w:cs="Times New Roman"/>
              </w:rPr>
            </w:pPr>
            <w:r w:rsidRPr="0078164E">
              <w:rPr>
                <w:rFonts w:cs="Times New Roman"/>
              </w:rPr>
              <w:t>état liquidatif.</w:t>
            </w:r>
          </w:p>
        </w:tc>
        <w:tc>
          <w:tcPr>
            <w:tcW w:w="2588" w:type="dxa"/>
          </w:tcPr>
          <w:p w:rsidR="00A3505B" w:rsidRPr="00A3505B" w:rsidRDefault="00A3505B" w:rsidP="00A3505B">
            <w:pPr>
              <w:cnfStyle w:val="000000000000"/>
              <w:rPr>
                <w:rFonts w:cs="Times New Roman"/>
                <w:sz w:val="18"/>
                <w:szCs w:val="18"/>
              </w:rPr>
            </w:pPr>
            <w:r w:rsidRPr="00A3505B">
              <w:rPr>
                <w:rFonts w:cs="Times New Roman"/>
                <w:sz w:val="18"/>
                <w:szCs w:val="18"/>
              </w:rPr>
              <w:t>201895 P.A.R.R. ETAT 2EME PART  D2015-1120*04/09/2015</w:t>
            </w:r>
          </w:p>
        </w:tc>
      </w:tr>
      <w:tr w:rsidR="00A3505B" w:rsidTr="005D5074">
        <w:trPr>
          <w:cnfStyle w:val="000000100000"/>
        </w:trPr>
        <w:tc>
          <w:tcPr>
            <w:cnfStyle w:val="001000000000"/>
            <w:tcW w:w="1814" w:type="dxa"/>
          </w:tcPr>
          <w:p w:rsidR="00A3505B" w:rsidRDefault="00A3505B" w:rsidP="00A3505B">
            <w:pPr>
              <w:rPr>
                <w:rFonts w:cs="Times New Roman"/>
              </w:rPr>
            </w:pPr>
            <w:r>
              <w:rPr>
                <w:rFonts w:cs="Times New Roman"/>
              </w:rPr>
              <w:t>Complément à la mobilité du conjoint</w:t>
            </w:r>
          </w:p>
        </w:tc>
        <w:tc>
          <w:tcPr>
            <w:tcW w:w="4815" w:type="dxa"/>
          </w:tcPr>
          <w:p w:rsidR="005D5074" w:rsidRPr="005D5074" w:rsidRDefault="005D5074" w:rsidP="005D5074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 w:rsidRPr="005D5074">
              <w:rPr>
                <w:rFonts w:cs="Times New Roman"/>
              </w:rPr>
              <w:t>arrêté attributif visant l'article 4 du décret n°</w:t>
            </w:r>
            <w:r w:rsidR="002D347F">
              <w:rPr>
                <w:rFonts w:cs="Times New Roman"/>
              </w:rPr>
              <w:t> </w:t>
            </w:r>
            <w:r>
              <w:rPr>
                <w:rFonts w:cs="Times New Roman"/>
              </w:rPr>
              <w:t>2015-1120 du 4 septembre 2015 ;</w:t>
            </w:r>
          </w:p>
          <w:p w:rsidR="005D5074" w:rsidRPr="005D5074" w:rsidRDefault="005D5074" w:rsidP="005D5074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>
              <w:rPr>
                <w:rFonts w:cs="Times New Roman"/>
              </w:rPr>
              <w:t>état liquidatif ;</w:t>
            </w:r>
          </w:p>
          <w:p w:rsidR="00A3505B" w:rsidRPr="00A3505B" w:rsidRDefault="005D5074" w:rsidP="005D5074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100000"/>
              <w:rPr>
                <w:rFonts w:cs="Times New Roman"/>
              </w:rPr>
            </w:pPr>
            <w:r w:rsidRPr="005D5074">
              <w:rPr>
                <w:rFonts w:cs="Times New Roman"/>
              </w:rPr>
              <w:t xml:space="preserve">attestation de l'employeur précisant que l'agent ne perçoit pas par ailleurs, la prime de restructuration et le complément à la mobilité du conjoint prévus par le décret </w:t>
            </w:r>
            <w:r w:rsidR="002D347F">
              <w:rPr>
                <w:rFonts w:cs="Times New Roman"/>
              </w:rPr>
              <w:t>n° </w:t>
            </w:r>
            <w:r w:rsidRPr="005D5074">
              <w:rPr>
                <w:rFonts w:cs="Times New Roman"/>
              </w:rPr>
              <w:t>2008-366 du 17 av</w:t>
            </w:r>
            <w:r>
              <w:rPr>
                <w:rFonts w:cs="Times New Roman"/>
              </w:rPr>
              <w:t>ril 2008 (codes 1491 et 1492).</w:t>
            </w:r>
          </w:p>
        </w:tc>
        <w:tc>
          <w:tcPr>
            <w:tcW w:w="2588" w:type="dxa"/>
          </w:tcPr>
          <w:p w:rsidR="00A3505B" w:rsidRPr="00A3505B" w:rsidRDefault="00A3505B" w:rsidP="00A3505B">
            <w:pPr>
              <w:cnfStyle w:val="000000100000"/>
              <w:rPr>
                <w:rFonts w:cs="Times New Roman"/>
                <w:sz w:val="18"/>
                <w:szCs w:val="18"/>
              </w:rPr>
            </w:pPr>
            <w:r w:rsidRPr="00A3505B">
              <w:rPr>
                <w:rFonts w:cs="Times New Roman"/>
                <w:sz w:val="18"/>
                <w:szCs w:val="18"/>
              </w:rPr>
              <w:t>201896 COMPLT MOBILITE CONJOINT D2015-1120*04/09/2015</w:t>
            </w:r>
          </w:p>
        </w:tc>
      </w:tr>
      <w:tr w:rsidR="00A3505B" w:rsidTr="005D5074">
        <w:tc>
          <w:tcPr>
            <w:cnfStyle w:val="001000000000"/>
            <w:tcW w:w="1814" w:type="dxa"/>
          </w:tcPr>
          <w:p w:rsidR="00A3505B" w:rsidRDefault="00A3505B" w:rsidP="00A3505B">
            <w:pPr>
              <w:rPr>
                <w:rFonts w:cs="Times New Roman"/>
              </w:rPr>
            </w:pPr>
            <w:r>
              <w:rPr>
                <w:rFonts w:cs="Times New Roman"/>
              </w:rPr>
              <w:t>Indemnité de départ volontaire</w:t>
            </w:r>
          </w:p>
        </w:tc>
        <w:tc>
          <w:tcPr>
            <w:tcW w:w="4815" w:type="dxa"/>
          </w:tcPr>
          <w:p w:rsidR="005D5074" w:rsidRPr="005D5074" w:rsidRDefault="005D5074" w:rsidP="005D5074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000000"/>
              <w:rPr>
                <w:rFonts w:cs="Times New Roman"/>
              </w:rPr>
            </w:pPr>
            <w:r w:rsidRPr="005D5074">
              <w:rPr>
                <w:rFonts w:cs="Times New Roman"/>
              </w:rPr>
              <w:t>arrêté attributif visant l'article 6 du décret n°</w:t>
            </w:r>
            <w:r w:rsidR="002D347F">
              <w:rPr>
                <w:rFonts w:cs="Times New Roman"/>
              </w:rPr>
              <w:t> </w:t>
            </w:r>
            <w:r>
              <w:rPr>
                <w:rFonts w:cs="Times New Roman"/>
              </w:rPr>
              <w:t>2015-1120 du 4 septembre 2015 ;</w:t>
            </w:r>
          </w:p>
          <w:p w:rsidR="00A3505B" w:rsidRPr="00A3505B" w:rsidRDefault="005D5074" w:rsidP="005D5074">
            <w:pPr>
              <w:pStyle w:val="Paragraphedeliste"/>
              <w:numPr>
                <w:ilvl w:val="0"/>
                <w:numId w:val="4"/>
              </w:numPr>
              <w:ind w:left="171" w:hanging="142"/>
              <w:cnfStyle w:val="000000000000"/>
              <w:rPr>
                <w:rFonts w:cs="Times New Roman"/>
              </w:rPr>
            </w:pPr>
            <w:r w:rsidRPr="005D5074">
              <w:rPr>
                <w:rFonts w:cs="Times New Roman"/>
              </w:rPr>
              <w:t>état liquidatif.</w:t>
            </w:r>
          </w:p>
        </w:tc>
        <w:tc>
          <w:tcPr>
            <w:tcW w:w="2588" w:type="dxa"/>
          </w:tcPr>
          <w:p w:rsidR="00A3505B" w:rsidRPr="00A3505B" w:rsidRDefault="00A3505B" w:rsidP="00A3505B">
            <w:pPr>
              <w:cnfStyle w:val="000000000000"/>
              <w:rPr>
                <w:rFonts w:cs="Times New Roman"/>
                <w:sz w:val="18"/>
                <w:szCs w:val="18"/>
              </w:rPr>
            </w:pPr>
            <w:r w:rsidRPr="00A3505B">
              <w:rPr>
                <w:rFonts w:cs="Times New Roman"/>
                <w:sz w:val="18"/>
                <w:szCs w:val="18"/>
              </w:rPr>
              <w:t>201897 IND. DE DEPART VOLONTAIRE D2015-1120*04/06/2015 - DEROGATIONS AU D2008-368*17/04/2008</w:t>
            </w:r>
          </w:p>
        </w:tc>
      </w:tr>
    </w:tbl>
    <w:p w:rsidR="00B4358A" w:rsidRPr="00665A2E" w:rsidRDefault="00E325C8" w:rsidP="0078164E">
      <w:pPr>
        <w:jc w:val="both"/>
        <w:rPr>
          <w:rFonts w:cs="Times New Roman"/>
          <w:sz w:val="18"/>
          <w:szCs w:val="18"/>
        </w:rPr>
      </w:pPr>
      <w:r w:rsidRPr="00665A2E">
        <w:rPr>
          <w:rFonts w:cs="Times New Roman"/>
          <w:sz w:val="18"/>
          <w:szCs w:val="18"/>
        </w:rPr>
        <w:t>(1</w:t>
      </w:r>
      <w:r w:rsidR="0078164E" w:rsidRPr="00665A2E">
        <w:rPr>
          <w:rFonts w:cs="Times New Roman"/>
          <w:sz w:val="18"/>
          <w:szCs w:val="18"/>
        </w:rPr>
        <w:t>) Arrêté du 23 décembre 2015 relatif aux opérations ouvrant droit au bénéfice de la prime d’accompagnement de la réorganisation régionale de l’Etat et du complément à la mobilité du conjoint – NOR PRMG1531008A – JO du 26 décembre 2015</w:t>
      </w:r>
    </w:p>
    <w:p w:rsidR="00A3505B" w:rsidRDefault="00A3505B" w:rsidP="00A3505B">
      <w:pPr>
        <w:jc w:val="both"/>
        <w:rPr>
          <w:rFonts w:cs="Times New Roman"/>
        </w:rPr>
      </w:pPr>
      <w:r>
        <w:rPr>
          <w:rFonts w:cs="Times New Roman"/>
        </w:rPr>
        <w:t xml:space="preserve">L’ensemble de ces dépenses sont imputées sur le compte PCE </w:t>
      </w:r>
      <w:r w:rsidRPr="00A3505B">
        <w:rPr>
          <w:rFonts w:cs="Times New Roman"/>
        </w:rPr>
        <w:t>6412170000 « Autres indemnités liées à la résidence et à la mobilité ».</w:t>
      </w:r>
    </w:p>
    <w:p w:rsidR="009D2EEE" w:rsidRPr="007C5F50" w:rsidRDefault="00B4358A" w:rsidP="009D2EEE">
      <w:pPr>
        <w:jc w:val="both"/>
        <w:rPr>
          <w:rFonts w:cs="Times New Roman"/>
          <w:b/>
        </w:rPr>
      </w:pPr>
      <w:r w:rsidRPr="00B4358A">
        <w:rPr>
          <w:rFonts w:cs="Times New Roman"/>
          <w:b/>
          <w:color w:val="E36C0A" w:themeColor="accent6" w:themeShade="BF"/>
          <w:u w:val="single"/>
        </w:rPr>
        <w:t>Comment les indemnités sont-elles financées</w:t>
      </w:r>
      <w:r w:rsidR="00986FFF">
        <w:rPr>
          <w:rFonts w:cs="Times New Roman"/>
          <w:b/>
          <w:color w:val="E36C0A" w:themeColor="accent6" w:themeShade="BF"/>
          <w:u w:val="single"/>
        </w:rPr>
        <w:t xml:space="preserve"> et suivies en gestion</w:t>
      </w:r>
      <w:r w:rsidRPr="00B4358A">
        <w:rPr>
          <w:rFonts w:cs="Times New Roman"/>
          <w:b/>
          <w:color w:val="E36C0A" w:themeColor="accent6" w:themeShade="BF"/>
          <w:u w:val="single"/>
        </w:rPr>
        <w:t> ?</w:t>
      </w:r>
    </w:p>
    <w:p w:rsidR="009F610D" w:rsidRDefault="002D347F" w:rsidP="00E325C8">
      <w:pPr>
        <w:jc w:val="both"/>
        <w:rPr>
          <w:rFonts w:cs="Times New Roman"/>
        </w:rPr>
      </w:pPr>
      <w:r>
        <w:rPr>
          <w:rFonts w:cs="Times New Roman"/>
        </w:rPr>
        <w:t>Les dispositifs d’accompagnement indemnitaire liés à la réforme territoriale sont financés par u</w:t>
      </w:r>
      <w:r w:rsidR="009D2EEE" w:rsidRPr="009D2EEE">
        <w:rPr>
          <w:rFonts w:cs="Times New Roman"/>
        </w:rPr>
        <w:t xml:space="preserve">ne </w:t>
      </w:r>
      <w:r w:rsidR="009D2EEE" w:rsidRPr="00665A2E">
        <w:rPr>
          <w:rFonts w:cs="Times New Roman"/>
        </w:rPr>
        <w:t xml:space="preserve">enveloppe budgétaire spécifique mise en place en loi de finances pour 2016. Ce fonds d’accompagnement interministériel de la réforme (FAIRE) a vocation à financer la PARRE, tant géographique que fonctionnelle, </w:t>
      </w:r>
      <w:r w:rsidR="00C9569C" w:rsidRPr="00665A2E">
        <w:rPr>
          <w:rFonts w:cs="Times New Roman"/>
        </w:rPr>
        <w:t xml:space="preserve">ainsi que les versements associés de complément à la mobilité du conjoint et </w:t>
      </w:r>
      <w:r w:rsidR="009D2EEE" w:rsidRPr="00665A2E">
        <w:rPr>
          <w:rFonts w:cs="Times New Roman"/>
        </w:rPr>
        <w:t>les indemnité</w:t>
      </w:r>
      <w:r w:rsidR="00C9569C" w:rsidRPr="00665A2E">
        <w:rPr>
          <w:rFonts w:cs="Times New Roman"/>
        </w:rPr>
        <w:t>s</w:t>
      </w:r>
      <w:r w:rsidR="009D2EEE" w:rsidRPr="00665A2E">
        <w:rPr>
          <w:rFonts w:cs="Times New Roman"/>
        </w:rPr>
        <w:t xml:space="preserve"> de départ volontaire</w:t>
      </w:r>
      <w:r w:rsidR="009F610D" w:rsidRPr="00665A2E">
        <w:rPr>
          <w:rFonts w:cs="Times New Roman"/>
        </w:rPr>
        <w:t>.</w:t>
      </w:r>
      <w:r w:rsidRPr="00665A2E">
        <w:rPr>
          <w:rFonts w:cs="Times New Roman"/>
        </w:rPr>
        <w:t xml:space="preserve"> Il ne finance pas, en revanche, certains dispositifs complémentaires mentionnés aux articles 8 et 9 du décret n°2015-1120 du 4 septembre 2015 (indemnité de frais de changement de résidence, indemnité d’accompagnement à la mobilité et complément indemnitaire d’accompagnement).</w:t>
      </w:r>
    </w:p>
    <w:p w:rsidR="00D4628F" w:rsidRDefault="00C25DF5" w:rsidP="00E325C8">
      <w:pPr>
        <w:jc w:val="both"/>
        <w:rPr>
          <w:rFonts w:cs="Times New Roman"/>
        </w:rPr>
      </w:pPr>
      <w:r>
        <w:rPr>
          <w:rFonts w:cs="Times New Roman"/>
        </w:rPr>
        <w:t>Les crédits du FAIRE sont portés par le programme budgétaire 551 « </w:t>
      </w:r>
      <w:r w:rsidRPr="009F610D">
        <w:rPr>
          <w:rFonts w:cs="Times New Roman"/>
        </w:rPr>
        <w:t>Provision relative aux rémunérations publiques</w:t>
      </w:r>
      <w:r>
        <w:rPr>
          <w:rFonts w:cs="Times New Roman"/>
        </w:rPr>
        <w:t xml:space="preserve"> », à hauteur de 11,4 M€ pour 2016. </w:t>
      </w:r>
      <w:r w:rsidR="002D347F">
        <w:rPr>
          <w:rFonts w:cs="Times New Roman"/>
        </w:rPr>
        <w:t>Les dépenses sont dans un premier temps imputées sur les</w:t>
      </w:r>
      <w:r w:rsidR="009F610D">
        <w:rPr>
          <w:rFonts w:cs="Times New Roman"/>
        </w:rPr>
        <w:t xml:space="preserve"> programmes budgétaires</w:t>
      </w:r>
      <w:r w:rsidR="002D347F">
        <w:rPr>
          <w:rFonts w:cs="Times New Roman"/>
        </w:rPr>
        <w:t xml:space="preserve"> des ministères</w:t>
      </w:r>
      <w:r w:rsidR="009F610D">
        <w:rPr>
          <w:rFonts w:cs="Times New Roman"/>
        </w:rPr>
        <w:t xml:space="preserve"> qui portent la rémunération</w:t>
      </w:r>
      <w:r w:rsidR="00D4628F">
        <w:rPr>
          <w:rFonts w:cs="Times New Roman"/>
        </w:rPr>
        <w:t xml:space="preserve"> des agents concernés. </w:t>
      </w:r>
      <w:r w:rsidR="002D347F">
        <w:rPr>
          <w:rFonts w:cs="Times New Roman"/>
        </w:rPr>
        <w:t>Dans un second temps, l</w:t>
      </w:r>
      <w:r w:rsidR="00D4628F">
        <w:rPr>
          <w:rFonts w:cs="Times New Roman"/>
        </w:rPr>
        <w:t>e</w:t>
      </w:r>
      <w:r>
        <w:rPr>
          <w:rFonts w:cs="Times New Roman"/>
        </w:rPr>
        <w:t>s</w:t>
      </w:r>
      <w:r w:rsidR="00D4628F">
        <w:rPr>
          <w:rFonts w:cs="Times New Roman"/>
        </w:rPr>
        <w:t xml:space="preserve"> </w:t>
      </w:r>
      <w:r>
        <w:rPr>
          <w:rFonts w:cs="Times New Roman"/>
        </w:rPr>
        <w:t xml:space="preserve">crédits du </w:t>
      </w:r>
      <w:r w:rsidR="00D4628F">
        <w:rPr>
          <w:rFonts w:cs="Times New Roman"/>
        </w:rPr>
        <w:t xml:space="preserve">FAIRE </w:t>
      </w:r>
      <w:r>
        <w:rPr>
          <w:rFonts w:cs="Times New Roman"/>
        </w:rPr>
        <w:t>abonderont</w:t>
      </w:r>
      <w:r w:rsidR="00D4628F">
        <w:rPr>
          <w:rFonts w:cs="Times New Roman"/>
        </w:rPr>
        <w:t xml:space="preserve"> les crédits de ces programmes </w:t>
      </w:r>
      <w:r>
        <w:rPr>
          <w:rFonts w:cs="Times New Roman"/>
        </w:rPr>
        <w:t>par arrêté du ministre chargé des finances, conformément à l</w:t>
      </w:r>
      <w:r w:rsidR="00D4628F">
        <w:rPr>
          <w:rFonts w:cs="Times New Roman"/>
        </w:rPr>
        <w:t>’article 11 de la LOLF.</w:t>
      </w:r>
    </w:p>
    <w:p w:rsidR="009D2EEE" w:rsidRDefault="007A28DB" w:rsidP="00E325C8">
      <w:pPr>
        <w:jc w:val="both"/>
        <w:rPr>
          <w:rFonts w:cs="Times New Roman"/>
        </w:rPr>
      </w:pPr>
      <w:r>
        <w:rPr>
          <w:rFonts w:cs="Times New Roman"/>
        </w:rPr>
        <w:t>En fonction du rythme de décaissement</w:t>
      </w:r>
      <w:r w:rsidR="00350CD7">
        <w:rPr>
          <w:rFonts w:cs="Times New Roman"/>
        </w:rPr>
        <w:t xml:space="preserve"> prévu et réalisé</w:t>
      </w:r>
      <w:r>
        <w:rPr>
          <w:rFonts w:cs="Times New Roman"/>
        </w:rPr>
        <w:t xml:space="preserve">, la répartition </w:t>
      </w:r>
      <w:r w:rsidR="002A2317">
        <w:rPr>
          <w:rFonts w:cs="Times New Roman"/>
        </w:rPr>
        <w:t xml:space="preserve">des crédits du FAIRE </w:t>
      </w:r>
      <w:r>
        <w:rPr>
          <w:rFonts w:cs="Times New Roman"/>
        </w:rPr>
        <w:t>pourra être effectuée en une ou plusieurs fois au cours de l’année.</w:t>
      </w:r>
      <w:r w:rsidR="002A2317">
        <w:rPr>
          <w:rFonts w:cs="Times New Roman"/>
        </w:rPr>
        <w:t xml:space="preserve"> </w:t>
      </w:r>
      <w:r>
        <w:rPr>
          <w:rFonts w:cs="Times New Roman"/>
        </w:rPr>
        <w:t>Elle sera basée sur</w:t>
      </w:r>
      <w:r w:rsidR="00C25DF5">
        <w:rPr>
          <w:rFonts w:cs="Times New Roman"/>
        </w:rPr>
        <w:t xml:space="preserve"> les prévisions de dépense des ministères et sur</w:t>
      </w:r>
      <w:r>
        <w:rPr>
          <w:rFonts w:cs="Times New Roman"/>
        </w:rPr>
        <w:t xml:space="preserve"> la dépense effective en paye</w:t>
      </w:r>
      <w:r w:rsidR="00C25DF5">
        <w:rPr>
          <w:rFonts w:cs="Times New Roman"/>
        </w:rPr>
        <w:t>, constatée par</w:t>
      </w:r>
      <w:r>
        <w:rPr>
          <w:rFonts w:cs="Times New Roman"/>
        </w:rPr>
        <w:t xml:space="preserve"> les codes éléments de rémunération précités.</w:t>
      </w:r>
    </w:p>
    <w:p w:rsidR="00665A2E" w:rsidRDefault="00665A2E">
      <w:pPr>
        <w:rPr>
          <w:rFonts w:cs="Times New Roman"/>
        </w:rPr>
      </w:pPr>
      <w:r>
        <w:rPr>
          <w:rFonts w:cs="Times New Roman"/>
        </w:rPr>
        <w:br w:type="page"/>
      </w:r>
    </w:p>
    <w:p w:rsidR="007C5F50" w:rsidRDefault="007C5F50" w:rsidP="00E325C8">
      <w:pPr>
        <w:jc w:val="both"/>
        <w:rPr>
          <w:rFonts w:cs="Times New Roman"/>
        </w:rPr>
      </w:pPr>
      <w:r>
        <w:rPr>
          <w:rFonts w:cs="Times New Roman"/>
        </w:rPr>
        <w:lastRenderedPageBreak/>
        <w:t>Les prévisions de dépense devront être transmises par les ministères dans le cadre des conférences budgétaires (février, mai, septembre) sur le modèle ci-dessous :</w:t>
      </w:r>
    </w:p>
    <w:tbl>
      <w:tblPr>
        <w:tblStyle w:val="Grillemoyenne2-Accent6"/>
        <w:tblW w:w="0" w:type="auto"/>
        <w:tblLook w:val="04A0"/>
      </w:tblPr>
      <w:tblGrid>
        <w:gridCol w:w="2338"/>
        <w:gridCol w:w="1390"/>
        <w:gridCol w:w="1390"/>
        <w:gridCol w:w="1390"/>
        <w:gridCol w:w="1390"/>
        <w:gridCol w:w="1390"/>
      </w:tblGrid>
      <w:tr w:rsidR="00335B38" w:rsidRPr="00335B38" w:rsidTr="00335B38">
        <w:trPr>
          <w:cnfStyle w:val="100000000000"/>
        </w:trPr>
        <w:tc>
          <w:tcPr>
            <w:cnfStyle w:val="001000000100"/>
            <w:tcW w:w="2338" w:type="dxa"/>
          </w:tcPr>
          <w:p w:rsidR="00335B38" w:rsidRPr="00335B38" w:rsidRDefault="00335B38" w:rsidP="009D2EEE">
            <w:pPr>
              <w:jc w:val="both"/>
              <w:rPr>
                <w:rFonts w:asciiTheme="minorHAnsi" w:hAnsiTheme="minorHAnsi" w:cs="Times New Roman"/>
                <w:b w:val="0"/>
                <w:sz w:val="20"/>
              </w:rPr>
            </w:pP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center"/>
              <w:cnfStyle w:val="100000000000"/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1</w:t>
            </w:r>
            <w:r w:rsidRPr="00335B38">
              <w:rPr>
                <w:rFonts w:asciiTheme="minorHAnsi" w:hAnsiTheme="minorHAnsi" w:cs="Times New Roman"/>
                <w:b w:val="0"/>
                <w:sz w:val="20"/>
                <w:vertAlign w:val="superscript"/>
              </w:rPr>
              <w:t>er</w:t>
            </w:r>
            <w:r w:rsidRPr="00335B38">
              <w:rPr>
                <w:rFonts w:asciiTheme="minorHAnsi" w:hAnsiTheme="minorHAnsi" w:cs="Times New Roman"/>
                <w:b w:val="0"/>
                <w:sz w:val="20"/>
              </w:rPr>
              <w:t xml:space="preserve"> trimestre 2016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center"/>
              <w:cnfStyle w:val="100000000000"/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2</w:t>
            </w:r>
            <w:r w:rsidRPr="00335B38">
              <w:rPr>
                <w:rFonts w:asciiTheme="minorHAnsi" w:hAnsiTheme="minorHAnsi" w:cs="Times New Roman"/>
                <w:b w:val="0"/>
                <w:sz w:val="20"/>
                <w:vertAlign w:val="superscript"/>
              </w:rPr>
              <w:t>ème</w:t>
            </w:r>
            <w:r w:rsidRPr="00335B38">
              <w:rPr>
                <w:rFonts w:asciiTheme="minorHAnsi" w:hAnsiTheme="minorHAnsi" w:cs="Times New Roman"/>
                <w:b w:val="0"/>
                <w:sz w:val="20"/>
              </w:rPr>
              <w:t xml:space="preserve"> trimestre 2016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center"/>
              <w:cnfStyle w:val="100000000000"/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3</w:t>
            </w:r>
            <w:r w:rsidRPr="00335B38">
              <w:rPr>
                <w:rFonts w:asciiTheme="minorHAnsi" w:hAnsiTheme="minorHAnsi" w:cs="Times New Roman"/>
                <w:b w:val="0"/>
                <w:sz w:val="20"/>
                <w:vertAlign w:val="superscript"/>
              </w:rPr>
              <w:t>ème</w:t>
            </w:r>
            <w:r w:rsidRPr="00335B38">
              <w:rPr>
                <w:rFonts w:asciiTheme="minorHAnsi" w:hAnsiTheme="minorHAnsi" w:cs="Times New Roman"/>
                <w:b w:val="0"/>
                <w:sz w:val="20"/>
              </w:rPr>
              <w:t xml:space="preserve"> et 4</w:t>
            </w:r>
            <w:r w:rsidRPr="00335B38">
              <w:rPr>
                <w:rFonts w:asciiTheme="minorHAnsi" w:hAnsiTheme="minorHAnsi" w:cs="Times New Roman"/>
                <w:b w:val="0"/>
                <w:sz w:val="20"/>
                <w:vertAlign w:val="superscript"/>
              </w:rPr>
              <w:t>ème</w:t>
            </w:r>
            <w:r w:rsidRPr="00335B38">
              <w:rPr>
                <w:rFonts w:asciiTheme="minorHAnsi" w:hAnsiTheme="minorHAnsi" w:cs="Times New Roman"/>
                <w:b w:val="0"/>
                <w:sz w:val="20"/>
              </w:rPr>
              <w:t xml:space="preserve"> trimestre 2016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center"/>
              <w:cnfStyle w:val="100000000000"/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2017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center"/>
              <w:cnfStyle w:val="100000000000"/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2018</w:t>
            </w:r>
          </w:p>
        </w:tc>
      </w:tr>
      <w:tr w:rsidR="00335B38" w:rsidRPr="00335B38" w:rsidTr="00335B38">
        <w:trPr>
          <w:cnfStyle w:val="000000100000"/>
        </w:trPr>
        <w:tc>
          <w:tcPr>
            <w:cnfStyle w:val="001000000000"/>
            <w:tcW w:w="2338" w:type="dxa"/>
          </w:tcPr>
          <w:p w:rsidR="00335B38" w:rsidRPr="00335B38" w:rsidRDefault="00335B38" w:rsidP="00335B38">
            <w:pPr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Programme budgétaire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 w:cs="Times New Roman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</w:tr>
      <w:tr w:rsidR="00335B38" w:rsidRPr="00335B38" w:rsidTr="00335B38">
        <w:tc>
          <w:tcPr>
            <w:cnfStyle w:val="001000000000"/>
            <w:tcW w:w="2338" w:type="dxa"/>
          </w:tcPr>
          <w:p w:rsidR="00335B38" w:rsidRPr="00335B38" w:rsidRDefault="00335B38" w:rsidP="005E7090">
            <w:pPr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Montant prévisionnel PARRE géographique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</w:tr>
      <w:tr w:rsidR="00335B38" w:rsidRPr="00335B38" w:rsidTr="00335B38">
        <w:trPr>
          <w:cnfStyle w:val="000000100000"/>
        </w:trPr>
        <w:tc>
          <w:tcPr>
            <w:cnfStyle w:val="001000000000"/>
            <w:tcW w:w="2338" w:type="dxa"/>
          </w:tcPr>
          <w:p w:rsidR="00335B38" w:rsidRPr="00335B38" w:rsidRDefault="00335B38" w:rsidP="005E7090">
            <w:pPr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Montant prévisionnel PARRE fonctionnelle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</w:tr>
      <w:tr w:rsidR="00335B38" w:rsidRPr="00335B38" w:rsidTr="00335B38">
        <w:tc>
          <w:tcPr>
            <w:cnfStyle w:val="001000000000"/>
            <w:tcW w:w="2338" w:type="dxa"/>
          </w:tcPr>
          <w:p w:rsidR="00335B38" w:rsidRPr="00335B38" w:rsidRDefault="00335B38" w:rsidP="005E7090">
            <w:pPr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Montant prévisionnel compléments mobilité du conjoint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0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</w:tr>
      <w:tr w:rsidR="00335B38" w:rsidRPr="00335B38" w:rsidTr="00335B38">
        <w:trPr>
          <w:cnfStyle w:val="000000100000"/>
        </w:trPr>
        <w:tc>
          <w:tcPr>
            <w:cnfStyle w:val="001000000000"/>
            <w:tcW w:w="2338" w:type="dxa"/>
          </w:tcPr>
          <w:p w:rsidR="00335B38" w:rsidRPr="00335B38" w:rsidRDefault="00335B38" w:rsidP="005E7090">
            <w:pPr>
              <w:rPr>
                <w:rFonts w:asciiTheme="minorHAnsi" w:hAnsiTheme="minorHAnsi" w:cs="Times New Roman"/>
                <w:b w:val="0"/>
                <w:sz w:val="20"/>
              </w:rPr>
            </w:pPr>
            <w:r w:rsidRPr="00335B38">
              <w:rPr>
                <w:rFonts w:asciiTheme="minorHAnsi" w:hAnsiTheme="minorHAnsi" w:cs="Times New Roman"/>
                <w:b w:val="0"/>
                <w:sz w:val="20"/>
              </w:rPr>
              <w:t>Montant prévisionnel indemnité de départ volontaire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 w:cs="Times New Roman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  <w:tc>
          <w:tcPr>
            <w:tcW w:w="1390" w:type="dxa"/>
          </w:tcPr>
          <w:p w:rsidR="00335B38" w:rsidRPr="00335B38" w:rsidRDefault="00335B38" w:rsidP="00335B38">
            <w:pPr>
              <w:jc w:val="right"/>
              <w:cnfStyle w:val="000000100000"/>
              <w:rPr>
                <w:rFonts w:asciiTheme="minorHAnsi" w:hAnsiTheme="minorHAnsi"/>
                <w:sz w:val="20"/>
              </w:rPr>
            </w:pPr>
            <w:r w:rsidRPr="00335B38">
              <w:rPr>
                <w:rFonts w:asciiTheme="minorHAnsi" w:hAnsiTheme="minorHAnsi" w:cs="Times New Roman"/>
                <w:sz w:val="20"/>
              </w:rPr>
              <w:t>€</w:t>
            </w:r>
          </w:p>
        </w:tc>
      </w:tr>
    </w:tbl>
    <w:p w:rsidR="007C5F50" w:rsidRPr="00335B38" w:rsidRDefault="007C5F50" w:rsidP="009D2EEE">
      <w:pPr>
        <w:ind w:firstLine="708"/>
        <w:jc w:val="both"/>
        <w:rPr>
          <w:rFonts w:cs="Times New Roman"/>
        </w:rPr>
      </w:pPr>
    </w:p>
    <w:p w:rsidR="007C5F50" w:rsidRDefault="007C5F50" w:rsidP="00E325C8">
      <w:pPr>
        <w:jc w:val="both"/>
        <w:rPr>
          <w:rFonts w:cs="Times New Roman"/>
        </w:rPr>
      </w:pPr>
      <w:r>
        <w:rPr>
          <w:rFonts w:cs="Times New Roman"/>
        </w:rPr>
        <w:t>Les ministères sont donc invités à mettre en place dès à présent le recensement des prévisions de versement et leurs modalités d’actualisation.</w:t>
      </w:r>
    </w:p>
    <w:p w:rsidR="00D236B7" w:rsidRDefault="00D236B7" w:rsidP="00E325C8">
      <w:pPr>
        <w:jc w:val="both"/>
        <w:rPr>
          <w:rFonts w:cs="Times New Roman"/>
        </w:rPr>
      </w:pPr>
      <w:r>
        <w:rPr>
          <w:rFonts w:cs="Times New Roman"/>
        </w:rPr>
        <w:t>Enfin, l</w:t>
      </w:r>
      <w:r w:rsidRPr="00D236B7">
        <w:rPr>
          <w:rFonts w:cs="Times New Roman"/>
        </w:rPr>
        <w:t>e suivi du nombre de demandes et de bénéficiaires effectifs fera l’objet d’une présentation dans les instances de dialogue social et notamment dans l</w:t>
      </w:r>
      <w:r w:rsidR="002966FB">
        <w:rPr>
          <w:rFonts w:cs="Times New Roman"/>
        </w:rPr>
        <w:t>e</w:t>
      </w:r>
      <w:r w:rsidRPr="00D236B7">
        <w:rPr>
          <w:rFonts w:cs="Times New Roman"/>
        </w:rPr>
        <w:t xml:space="preserve"> cadre du Conseil supérieur de la fonction publique de l’Etat.</w:t>
      </w:r>
    </w:p>
    <w:p w:rsidR="0078164E" w:rsidRPr="0078164E" w:rsidRDefault="0078164E" w:rsidP="0078164E">
      <w:pPr>
        <w:jc w:val="both"/>
        <w:rPr>
          <w:rFonts w:cs="Times New Roman"/>
          <w:b/>
          <w:color w:val="E36C0A" w:themeColor="accent6" w:themeShade="BF"/>
          <w:u w:val="single"/>
        </w:rPr>
      </w:pPr>
      <w:r w:rsidRPr="0078164E">
        <w:rPr>
          <w:rFonts w:cs="Times New Roman"/>
          <w:b/>
          <w:color w:val="E36C0A" w:themeColor="accent6" w:themeShade="BF"/>
          <w:u w:val="single"/>
        </w:rPr>
        <w:t>Textes applicables</w:t>
      </w:r>
    </w:p>
    <w:p w:rsidR="0078164E" w:rsidRPr="005D5074" w:rsidRDefault="0078164E" w:rsidP="0078164E">
      <w:pPr>
        <w:jc w:val="both"/>
        <w:rPr>
          <w:rFonts w:cs="Times New Roman"/>
          <w:i/>
          <w:color w:val="E36C0A" w:themeColor="accent6" w:themeShade="BF"/>
        </w:rPr>
      </w:pPr>
      <w:r w:rsidRPr="005D5074">
        <w:rPr>
          <w:rFonts w:cs="Times New Roman"/>
          <w:i/>
          <w:color w:val="E36C0A" w:themeColor="accent6" w:themeShade="BF"/>
        </w:rPr>
        <w:tab/>
        <w:t>Dispositif spécifique à la réorganisation territoriale de l’Etat</w:t>
      </w:r>
    </w:p>
    <w:p w:rsidR="0078164E" w:rsidRPr="007C60E5" w:rsidRDefault="0078164E" w:rsidP="007C60E5">
      <w:pPr>
        <w:pStyle w:val="Paragraphedeliste"/>
        <w:numPr>
          <w:ilvl w:val="0"/>
          <w:numId w:val="7"/>
        </w:numPr>
        <w:jc w:val="both"/>
        <w:rPr>
          <w:rFonts w:cs="Times New Roman"/>
        </w:rPr>
      </w:pPr>
      <w:r w:rsidRPr="007C60E5">
        <w:rPr>
          <w:rFonts w:cs="Times New Roman"/>
        </w:rPr>
        <w:t>Décret n°2015-1120 du 4 septembre 2015 relatif aux mesures d’accompagnement indemnitaire des réorganisations de service liées à la nouvelle organisation territoriale de l’Etat</w:t>
      </w:r>
    </w:p>
    <w:p w:rsidR="0078164E" w:rsidRPr="007C60E5" w:rsidRDefault="0078164E" w:rsidP="007C60E5">
      <w:pPr>
        <w:pStyle w:val="Paragraphedeliste"/>
        <w:numPr>
          <w:ilvl w:val="0"/>
          <w:numId w:val="7"/>
        </w:numPr>
        <w:jc w:val="both"/>
        <w:rPr>
          <w:rFonts w:cs="Times New Roman"/>
        </w:rPr>
      </w:pPr>
      <w:r w:rsidRPr="007C60E5">
        <w:rPr>
          <w:rFonts w:cs="Times New Roman"/>
        </w:rPr>
        <w:t>Arrêté du 4 septembre 2015 pris pour l’application des dispositions du décret n°2015-1120 du 4 septembre 2015 relatif aux mesures d’accompagnement indemnitaire des réorganisations de service liées à la nouvelle organisation territoriale de l’Etat</w:t>
      </w:r>
    </w:p>
    <w:p w:rsidR="0078164E" w:rsidRPr="007C60E5" w:rsidRDefault="0078164E" w:rsidP="007C60E5">
      <w:pPr>
        <w:pStyle w:val="Paragraphedeliste"/>
        <w:numPr>
          <w:ilvl w:val="0"/>
          <w:numId w:val="7"/>
        </w:numPr>
        <w:jc w:val="both"/>
        <w:rPr>
          <w:rFonts w:cs="Times New Roman"/>
        </w:rPr>
      </w:pPr>
      <w:r w:rsidRPr="007C60E5">
        <w:rPr>
          <w:rFonts w:cs="Times New Roman"/>
        </w:rPr>
        <w:t>Arrêté du 23 décembre 2015 relatif aux opérations ouvrant droit au bénéfice de la prime d’accompagnement de la réorganisation régionale de l’Etat et du complément à la mobilité du conjoint</w:t>
      </w:r>
    </w:p>
    <w:p w:rsidR="009D2EEE" w:rsidRPr="005D5074" w:rsidRDefault="0078164E" w:rsidP="0078164E">
      <w:pPr>
        <w:ind w:left="708"/>
        <w:jc w:val="both"/>
        <w:rPr>
          <w:rFonts w:cs="Times New Roman"/>
          <w:i/>
          <w:color w:val="E36C0A" w:themeColor="accent6" w:themeShade="BF"/>
        </w:rPr>
      </w:pPr>
      <w:r w:rsidRPr="005D5074">
        <w:rPr>
          <w:rFonts w:cs="Times New Roman"/>
          <w:i/>
          <w:color w:val="E36C0A" w:themeColor="accent6" w:themeShade="BF"/>
        </w:rPr>
        <w:t>Autres textes applicables à la réforme territoriale dans les conditions déterminées par le décret n°2015-1120 du 4 septembre 2015</w:t>
      </w:r>
    </w:p>
    <w:p w:rsidR="0078164E" w:rsidRDefault="007C60E5" w:rsidP="007C60E5">
      <w:pPr>
        <w:pStyle w:val="Paragraphedeliste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Décret n°2008-368 du 17 avril 2008</w:t>
      </w:r>
      <w:r w:rsidR="005D5074">
        <w:rPr>
          <w:rFonts w:cs="Times New Roman"/>
        </w:rPr>
        <w:t xml:space="preserve"> instituant une </w:t>
      </w:r>
      <w:r w:rsidR="005D5074" w:rsidRPr="005D5074">
        <w:rPr>
          <w:rFonts w:cs="Times New Roman"/>
          <w:u w:val="single"/>
        </w:rPr>
        <w:t>indemnité de départ volontaire</w:t>
      </w:r>
      <w:r w:rsidR="005D5074">
        <w:rPr>
          <w:rFonts w:cs="Times New Roman"/>
        </w:rPr>
        <w:t>, dans les conditions précisées par les articles 6 et 7 du décret n°2015-1120 du 4 septembre 2015</w:t>
      </w:r>
    </w:p>
    <w:p w:rsidR="005D5074" w:rsidRDefault="005D5074" w:rsidP="007C60E5">
      <w:pPr>
        <w:pStyle w:val="Paragraphedeliste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Décret n°2011-513 du 10 mai 2011 relatif à </w:t>
      </w:r>
      <w:r w:rsidRPr="005D5074">
        <w:rPr>
          <w:rFonts w:cs="Times New Roman"/>
          <w:u w:val="single"/>
        </w:rPr>
        <w:t>l’indemnité d’accompagnement à la mobilité</w:t>
      </w:r>
      <w:r>
        <w:rPr>
          <w:rFonts w:cs="Times New Roman"/>
        </w:rPr>
        <w:t xml:space="preserve"> dans la fonction publique de l’Etat, dans les conditions précisées par l’article 9 du décret n°2015-1120 du 4 septembre 2015</w:t>
      </w:r>
    </w:p>
    <w:p w:rsidR="005D5074" w:rsidRDefault="005D5074" w:rsidP="007C60E5">
      <w:pPr>
        <w:pStyle w:val="Paragraphedeliste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Décret n°2014-507 du 19 mai 2014 relatif aux dispositifs indemnitaires d’accompagnement dans la fonction publique (</w:t>
      </w:r>
      <w:r w:rsidRPr="005D5074">
        <w:rPr>
          <w:rFonts w:cs="Times New Roman"/>
          <w:u w:val="single"/>
        </w:rPr>
        <w:t>complément indemnitaire d’accompagnement</w:t>
      </w:r>
      <w:r>
        <w:rPr>
          <w:rFonts w:cs="Times New Roman"/>
        </w:rPr>
        <w:t>), dans les conditions précisées par l’article 9 du décret n°2015-1120 du 4 septembre 2015</w:t>
      </w:r>
    </w:p>
    <w:p w:rsidR="00986FFF" w:rsidRDefault="00665A2E" w:rsidP="00F35732">
      <w:pPr>
        <w:jc w:val="both"/>
        <w:rPr>
          <w:rFonts w:cs="Times New Roman"/>
          <w:b/>
          <w:color w:val="E36C0A" w:themeColor="accent6" w:themeShade="BF"/>
          <w:u w:val="single"/>
        </w:rPr>
      </w:pPr>
      <w:r>
        <w:rPr>
          <w:rFonts w:cs="Times New Roman"/>
          <w:b/>
          <w:color w:val="E36C0A" w:themeColor="accent6" w:themeShade="BF"/>
          <w:u w:val="single"/>
        </w:rPr>
        <w:t xml:space="preserve">Annexes - </w:t>
      </w:r>
      <w:r w:rsidR="00986FFF" w:rsidRPr="00F35732">
        <w:rPr>
          <w:rFonts w:cs="Times New Roman"/>
          <w:b/>
          <w:color w:val="E36C0A" w:themeColor="accent6" w:themeShade="BF"/>
          <w:u w:val="single"/>
        </w:rPr>
        <w:t xml:space="preserve">Formulaires </w:t>
      </w:r>
      <w:r w:rsidR="00611CC0">
        <w:rPr>
          <w:rFonts w:cs="Times New Roman"/>
          <w:b/>
          <w:color w:val="E36C0A" w:themeColor="accent6" w:themeShade="BF"/>
          <w:u w:val="single"/>
        </w:rPr>
        <w:t>de demande de versement de la PARRE et de l’aide à la mobilité du conjoint</w:t>
      </w:r>
    </w:p>
    <w:p w:rsidR="00986FFF" w:rsidRDefault="00986FFF">
      <w:pPr>
        <w:rPr>
          <w:rFonts w:cs="Times New Roman"/>
          <w:color w:val="E36C0A" w:themeColor="accent6" w:themeShade="BF"/>
        </w:rPr>
      </w:pPr>
      <w:r>
        <w:rPr>
          <w:rFonts w:cs="Times New Roman"/>
          <w:color w:val="E36C0A" w:themeColor="accent6" w:themeShade="BF"/>
        </w:rPr>
        <w:br w:type="page"/>
      </w:r>
      <w:bookmarkStart w:id="0" w:name="_GoBack"/>
      <w:bookmarkEnd w:id="0"/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5710A">
        <w:rPr>
          <w:rFonts w:cstheme="minorHAnsi"/>
          <w:b/>
          <w:bCs/>
        </w:rPr>
        <w:t>FORMULAIRE DE DEMANDE D'ATTRIBUTION DE LA PRIME D’ACCOMPAGNEMENT DE LA REORGANISATION REGIONALE DE L’ETAT ET DE L'AIDE A LA MOBILITE DU CONJOINT</w:t>
      </w:r>
    </w:p>
    <w:p w:rsidR="00986FFF" w:rsidRPr="00F5710A" w:rsidRDefault="00986FFF" w:rsidP="00986FFF">
      <w:pPr>
        <w:spacing w:before="120" w:after="0" w:line="240" w:lineRule="auto"/>
        <w:jc w:val="both"/>
        <w:rPr>
          <w:rFonts w:cstheme="minorHAnsi"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NOM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Prénom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Corps/grade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 xml:space="preserve">Service </w:t>
      </w:r>
      <w:r>
        <w:rPr>
          <w:rFonts w:cstheme="minorHAnsi"/>
          <w:b/>
          <w:bCs/>
        </w:rPr>
        <w:t xml:space="preserve">et région </w:t>
      </w:r>
      <w:r w:rsidRPr="00F5710A">
        <w:rPr>
          <w:rFonts w:cstheme="minorHAnsi"/>
          <w:b/>
          <w:bCs/>
        </w:rPr>
        <w:t>(avant la réorganisation)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Service</w:t>
      </w:r>
      <w:r>
        <w:rPr>
          <w:rFonts w:cstheme="minorHAnsi"/>
          <w:b/>
          <w:bCs/>
        </w:rPr>
        <w:t xml:space="preserve">, région </w:t>
      </w:r>
      <w:r w:rsidRPr="00F5710A">
        <w:rPr>
          <w:rFonts w:cstheme="minorHAnsi"/>
          <w:b/>
          <w:bCs/>
        </w:rPr>
        <w:t>et date d'affectation (après la réorganisation)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F5710A">
        <w:rPr>
          <w:rFonts w:cstheme="minorHAnsi"/>
          <w:bCs/>
          <w:u w:val="single"/>
        </w:rPr>
        <w:t>Situation initiale</w:t>
      </w:r>
    </w:p>
    <w:p w:rsidR="00986FFF" w:rsidRPr="00F5710A" w:rsidRDefault="00986FFF" w:rsidP="00986FF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Adresse de la résidence familiale avant la nouvelle affectation :</w:t>
      </w:r>
    </w:p>
    <w:p w:rsidR="00986FFF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FFF" w:rsidRPr="00F5710A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Adresse de la résidence administrative avant la nouvelle affectation :</w:t>
      </w:r>
    </w:p>
    <w:p w:rsidR="00986FFF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FFF" w:rsidRPr="00F5710A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  <w:u w:val="single"/>
        </w:rPr>
        <w:t xml:space="preserve">Situation postérieure à l'opération de réorganisation régionale </w:t>
      </w:r>
      <w:r w:rsidRPr="00F5710A">
        <w:rPr>
          <w:rFonts w:cstheme="minorHAnsi"/>
          <w:bCs/>
        </w:rPr>
        <w:t>:</w:t>
      </w:r>
    </w:p>
    <w:p w:rsidR="00986FFF" w:rsidRPr="00F5710A" w:rsidRDefault="00986FFF" w:rsidP="00986FF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Adresse de la résidence administrative d'accueil :</w:t>
      </w:r>
    </w:p>
    <w:p w:rsidR="00986FFF" w:rsidRPr="00F5710A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 xml:space="preserve">En cas de changement de résidence familiale : </w:t>
      </w:r>
    </w:p>
    <w:p w:rsidR="00986FFF" w:rsidRPr="00F5710A" w:rsidRDefault="00986FFF" w:rsidP="00986FF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 xml:space="preserve">Date du changement de résidence familiale :  …. / ….  / …. </w:t>
      </w:r>
    </w:p>
    <w:p w:rsidR="00986FFF" w:rsidRPr="00F5710A" w:rsidRDefault="00986FFF" w:rsidP="00986FF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Adresse de la résidence familiale après la nouvelle affectation :</w:t>
      </w:r>
    </w:p>
    <w:p w:rsidR="00986FFF" w:rsidRPr="00F5710A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 xml:space="preserve">Demande d’attribution de l’allocation d’aide à la mobilité du conjoint :  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OUI - 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NON  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 xml:space="preserve">Enfant(s) à charge :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OUI - 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NON  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ind w:left="6521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Fait à,…………… le …………….</w:t>
      </w:r>
    </w:p>
    <w:p w:rsidR="00986FFF" w:rsidRDefault="00986FFF" w:rsidP="00F35732">
      <w:pPr>
        <w:jc w:val="both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Signature de l'agent</w:t>
      </w:r>
    </w:p>
    <w:p w:rsidR="00986FFF" w:rsidRDefault="00986FF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 xml:space="preserve">FORMULAIRE DE DEMANDE D'ATTRIBUTION 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 xml:space="preserve">DE LA PRIME D’ACCOMPAGNEMENT </w:t>
      </w:r>
      <w:r>
        <w:rPr>
          <w:rFonts w:cstheme="minorHAnsi"/>
          <w:b/>
          <w:bCs/>
        </w:rPr>
        <w:t xml:space="preserve">DE LA RECONVERSION PROFESSIONNELLE 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DANS LE CADRE </w:t>
      </w:r>
      <w:r w:rsidRPr="00F5710A">
        <w:rPr>
          <w:rFonts w:cstheme="minorHAnsi"/>
          <w:b/>
          <w:bCs/>
        </w:rPr>
        <w:t xml:space="preserve">DE LA REORGANISATION REGIONALE DE L’ETAT </w:t>
      </w:r>
    </w:p>
    <w:p w:rsidR="00986FFF" w:rsidRPr="00F5710A" w:rsidRDefault="00986FFF" w:rsidP="00986FFF">
      <w:pPr>
        <w:spacing w:before="120" w:after="0" w:line="240" w:lineRule="auto"/>
        <w:jc w:val="both"/>
        <w:rPr>
          <w:rFonts w:cstheme="minorHAnsi"/>
        </w:rPr>
      </w:pPr>
    </w:p>
    <w:p w:rsidR="00986FFF" w:rsidRPr="00F5710A" w:rsidRDefault="00986FFF" w:rsidP="00986FFF">
      <w:pPr>
        <w:spacing w:after="0" w:line="240" w:lineRule="auto"/>
        <w:jc w:val="center"/>
        <w:rPr>
          <w:rFonts w:cstheme="minorHAnsi"/>
        </w:rPr>
      </w:pPr>
      <w:r w:rsidRPr="00F5710A">
        <w:rPr>
          <w:rFonts w:cstheme="minorHAnsi"/>
        </w:rPr>
        <w:t>**</w:t>
      </w:r>
    </w:p>
    <w:p w:rsidR="00986FFF" w:rsidRPr="00F5710A" w:rsidRDefault="00986FFF" w:rsidP="00986FFF">
      <w:pPr>
        <w:spacing w:after="0" w:line="240" w:lineRule="auto"/>
        <w:jc w:val="center"/>
        <w:rPr>
          <w:rFonts w:cstheme="minorHAnsi"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NOM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Prénom :</w:t>
      </w: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Corps/grade :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3842DF">
        <w:rPr>
          <w:rFonts w:cstheme="minorHAnsi"/>
          <w:bCs/>
          <w:u w:val="single"/>
        </w:rPr>
        <w:t xml:space="preserve">Avant réorganisation : </w:t>
      </w:r>
    </w:p>
    <w:p w:rsidR="00986FFF" w:rsidRPr="003842DF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u w:val="single"/>
        </w:rPr>
      </w:pP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Région</w:t>
      </w:r>
      <w:r>
        <w:rPr>
          <w:rFonts w:cstheme="minorHAnsi"/>
          <w:bCs/>
        </w:rPr>
        <w:t> :</w:t>
      </w: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Service</w:t>
      </w:r>
      <w:r>
        <w:rPr>
          <w:rFonts w:cstheme="minorHAnsi"/>
          <w:bCs/>
        </w:rPr>
        <w:t> :</w:t>
      </w: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Poste occupé</w:t>
      </w:r>
      <w:r>
        <w:rPr>
          <w:rFonts w:cstheme="minorHAnsi"/>
          <w:bCs/>
        </w:rPr>
        <w:t xml:space="preserve"> : 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3842DF">
        <w:rPr>
          <w:rFonts w:cstheme="minorHAnsi"/>
          <w:bCs/>
          <w:u w:val="single"/>
        </w:rPr>
        <w:t xml:space="preserve">Après réorganisation : </w:t>
      </w:r>
    </w:p>
    <w:p w:rsidR="00986FFF" w:rsidRPr="003842DF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u w:val="single"/>
        </w:rPr>
      </w:pP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Région</w:t>
      </w:r>
      <w:r>
        <w:rPr>
          <w:rFonts w:cstheme="minorHAnsi"/>
          <w:bCs/>
        </w:rPr>
        <w:t> :</w:t>
      </w: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Service</w:t>
      </w:r>
      <w:r>
        <w:rPr>
          <w:rFonts w:cstheme="minorHAnsi"/>
          <w:bCs/>
        </w:rPr>
        <w:t> :</w:t>
      </w:r>
    </w:p>
    <w:p w:rsidR="00986FFF" w:rsidRPr="003842DF" w:rsidRDefault="00986FFF" w:rsidP="00986FFF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842DF">
        <w:rPr>
          <w:rFonts w:cstheme="minorHAnsi"/>
          <w:bCs/>
        </w:rPr>
        <w:t>Poste occupé</w:t>
      </w:r>
      <w:r>
        <w:rPr>
          <w:rFonts w:cstheme="minorHAnsi"/>
          <w:bCs/>
        </w:rPr>
        <w:t xml:space="preserve"> : 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Types de formation et durée des stages</w:t>
      </w:r>
    </w:p>
    <w:p w:rsidR="00986FFF" w:rsidRDefault="00986FFF" w:rsidP="00986FF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86FFF" w:rsidRDefault="00986FFF" w:rsidP="00986FF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86FFF" w:rsidRPr="00F415CB" w:rsidRDefault="00986FFF" w:rsidP="00986FF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86FFF" w:rsidRDefault="00986FFF" w:rsidP="00986FF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5710A"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86FFF" w:rsidRDefault="00986FFF" w:rsidP="00986FF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u w:val="single"/>
        </w:rPr>
        <w:t xml:space="preserve">Les cinq jours de formation ont-ils été suivis dans les 6 mois suivant la prise de poste </w:t>
      </w:r>
      <w:r w:rsidRPr="00F5710A">
        <w:rPr>
          <w:rFonts w:cstheme="minorHAnsi"/>
          <w:bCs/>
        </w:rPr>
        <w:t>:</w:t>
      </w:r>
      <w:r w:rsidRPr="00F415CB">
        <w:rPr>
          <w:rFonts w:cstheme="minorHAnsi"/>
          <w:bCs/>
        </w:rPr>
        <w:t xml:space="preserve">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OUI -  </w:t>
      </w:r>
      <w:r w:rsidRPr="00F5710A">
        <w:rPr>
          <w:rFonts w:cstheme="minorHAnsi"/>
          <w:bCs/>
        </w:rPr>
        <w:sym w:font="Wingdings" w:char="F06F"/>
      </w:r>
      <w:r w:rsidRPr="00F5710A">
        <w:rPr>
          <w:rFonts w:cstheme="minorHAnsi"/>
          <w:bCs/>
        </w:rPr>
        <w:t xml:space="preserve"> NON  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86FFF" w:rsidRPr="00F5710A" w:rsidRDefault="00986FFF" w:rsidP="00986FFF">
      <w:pPr>
        <w:autoSpaceDE w:val="0"/>
        <w:autoSpaceDN w:val="0"/>
        <w:adjustRightInd w:val="0"/>
        <w:spacing w:after="0" w:line="240" w:lineRule="auto"/>
        <w:ind w:left="6521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Fait à,…………… le …………….</w:t>
      </w:r>
    </w:p>
    <w:p w:rsidR="00986FFF" w:rsidRDefault="00986FFF" w:rsidP="00986FFF">
      <w:pPr>
        <w:autoSpaceDE w:val="0"/>
        <w:autoSpaceDN w:val="0"/>
        <w:adjustRightInd w:val="0"/>
        <w:spacing w:after="0" w:line="240" w:lineRule="auto"/>
        <w:ind w:left="6521"/>
        <w:rPr>
          <w:rFonts w:cstheme="minorHAnsi"/>
          <w:b/>
          <w:bCs/>
        </w:rPr>
      </w:pPr>
    </w:p>
    <w:p w:rsidR="00986FFF" w:rsidRPr="0044412D" w:rsidRDefault="00986FFF" w:rsidP="00986FFF">
      <w:pPr>
        <w:autoSpaceDE w:val="0"/>
        <w:autoSpaceDN w:val="0"/>
        <w:adjustRightInd w:val="0"/>
        <w:spacing w:after="0" w:line="240" w:lineRule="auto"/>
        <w:ind w:left="6521"/>
        <w:rPr>
          <w:rFonts w:cstheme="minorHAnsi"/>
          <w:b/>
          <w:bCs/>
        </w:rPr>
      </w:pPr>
      <w:r w:rsidRPr="00F5710A">
        <w:rPr>
          <w:rFonts w:cstheme="minorHAnsi"/>
          <w:b/>
          <w:bCs/>
        </w:rPr>
        <w:t>Signature de l'agent</w:t>
      </w:r>
    </w:p>
    <w:p w:rsidR="00986FFF" w:rsidRPr="00F35732" w:rsidRDefault="00986FFF" w:rsidP="00F35732">
      <w:pPr>
        <w:jc w:val="both"/>
        <w:rPr>
          <w:rFonts w:cstheme="minorHAnsi"/>
          <w:b/>
          <w:bCs/>
        </w:rPr>
      </w:pPr>
    </w:p>
    <w:sectPr w:rsidR="00986FFF" w:rsidRPr="00F35732" w:rsidSect="0091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A2" w:rsidRDefault="00A340A2" w:rsidP="00B4358A">
      <w:pPr>
        <w:spacing w:after="0" w:line="240" w:lineRule="auto"/>
      </w:pPr>
      <w:r>
        <w:separator/>
      </w:r>
    </w:p>
  </w:endnote>
  <w:endnote w:type="continuationSeparator" w:id="0">
    <w:p w:rsidR="00A340A2" w:rsidRDefault="00A340A2" w:rsidP="00B4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F" w:rsidRDefault="003A2B7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070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006B0" w:rsidRPr="004006B0" w:rsidRDefault="00913025">
        <w:pPr>
          <w:pStyle w:val="Pieddepage"/>
          <w:jc w:val="center"/>
          <w:rPr>
            <w:sz w:val="20"/>
            <w:szCs w:val="20"/>
          </w:rPr>
        </w:pPr>
        <w:r w:rsidRPr="004006B0">
          <w:rPr>
            <w:sz w:val="20"/>
            <w:szCs w:val="20"/>
          </w:rPr>
          <w:fldChar w:fldCharType="begin"/>
        </w:r>
        <w:r w:rsidR="004006B0" w:rsidRPr="004006B0">
          <w:rPr>
            <w:sz w:val="20"/>
            <w:szCs w:val="20"/>
          </w:rPr>
          <w:instrText>PAGE   \* MERGEFORMAT</w:instrText>
        </w:r>
        <w:r w:rsidRPr="004006B0">
          <w:rPr>
            <w:sz w:val="20"/>
            <w:szCs w:val="20"/>
          </w:rPr>
          <w:fldChar w:fldCharType="separate"/>
        </w:r>
        <w:r w:rsidR="00D03766">
          <w:rPr>
            <w:noProof/>
            <w:sz w:val="20"/>
            <w:szCs w:val="20"/>
          </w:rPr>
          <w:t>6</w:t>
        </w:r>
        <w:r w:rsidRPr="004006B0">
          <w:rPr>
            <w:sz w:val="20"/>
            <w:szCs w:val="20"/>
          </w:rPr>
          <w:fldChar w:fldCharType="end"/>
        </w:r>
      </w:p>
    </w:sdtContent>
  </w:sdt>
  <w:p w:rsidR="004006B0" w:rsidRDefault="004006B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F" w:rsidRDefault="003A2B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A2" w:rsidRDefault="00A340A2" w:rsidP="00B4358A">
      <w:pPr>
        <w:spacing w:after="0" w:line="240" w:lineRule="auto"/>
      </w:pPr>
      <w:r>
        <w:separator/>
      </w:r>
    </w:p>
  </w:footnote>
  <w:footnote w:type="continuationSeparator" w:id="0">
    <w:p w:rsidR="00A340A2" w:rsidRDefault="00A340A2" w:rsidP="00B4358A">
      <w:pPr>
        <w:spacing w:after="0" w:line="240" w:lineRule="auto"/>
      </w:pPr>
      <w:r>
        <w:continuationSeparator/>
      </w:r>
    </w:p>
  </w:footnote>
  <w:footnote w:id="1">
    <w:p w:rsidR="009062A1" w:rsidRDefault="009062A1">
      <w:pPr>
        <w:pStyle w:val="Notedebasdepage"/>
      </w:pPr>
      <w:r>
        <w:rPr>
          <w:rStyle w:val="Appelnotedebasdep"/>
        </w:rPr>
        <w:footnoteRef/>
      </w:r>
      <w:r>
        <w:t xml:space="preserve"> La rémunération de référence étant calculée par rapport à la rémunération </w:t>
      </w:r>
      <w:r w:rsidRPr="009062A1">
        <w:t>perçue par l'agent au cours de l'année civile précédant celle du dépôt de la demande de démission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F" w:rsidRDefault="003A2B7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8A" w:rsidRPr="00B4358A" w:rsidRDefault="00913025">
    <w:pPr>
      <w:pStyle w:val="En-tte"/>
      <w:rPr>
        <w:sz w:val="18"/>
        <w:szCs w:val="18"/>
      </w:rPr>
    </w:pPr>
    <w:sdt>
      <w:sdtPr>
        <w:rPr>
          <w:sz w:val="18"/>
          <w:szCs w:val="18"/>
        </w:rPr>
        <w:id w:val="806057692"/>
        <w:docPartObj>
          <w:docPartGallery w:val="Watermarks"/>
          <w:docPartUnique/>
        </w:docPartObj>
      </w:sdtPr>
      <w:sdtContent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986194" o:spid="_x0000_s2049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T"/>
              <w10:wrap anchorx="margin" anchory="margin"/>
            </v:shape>
          </w:pict>
        </w:r>
      </w:sdtContent>
    </w:sdt>
    <w:r w:rsidR="00B4358A" w:rsidRPr="00B4358A">
      <w:rPr>
        <w:sz w:val="18"/>
        <w:szCs w:val="18"/>
      </w:rPr>
      <w:t>Direction du budget</w:t>
    </w:r>
  </w:p>
  <w:p w:rsidR="00B4358A" w:rsidRPr="00B4358A" w:rsidRDefault="00B4358A">
    <w:pPr>
      <w:pStyle w:val="En-tte"/>
      <w:rPr>
        <w:sz w:val="18"/>
        <w:szCs w:val="18"/>
      </w:rPr>
    </w:pPr>
    <w:r w:rsidRPr="00B4358A">
      <w:rPr>
        <w:sz w:val="18"/>
        <w:szCs w:val="18"/>
      </w:rPr>
      <w:t>Direction générale des finances publiques</w:t>
    </w:r>
  </w:p>
  <w:p w:rsidR="00B4358A" w:rsidRPr="00B4358A" w:rsidRDefault="00B4358A">
    <w:pPr>
      <w:pStyle w:val="En-tte"/>
      <w:rPr>
        <w:sz w:val="18"/>
        <w:szCs w:val="18"/>
      </w:rPr>
    </w:pPr>
    <w:r w:rsidRPr="00B4358A">
      <w:rPr>
        <w:sz w:val="18"/>
        <w:szCs w:val="18"/>
      </w:rPr>
      <w:t>Direction générale de l’administration et de la fonction publique</w:t>
    </w:r>
    <w:r w:rsidR="004006B0">
      <w:rPr>
        <w:sz w:val="18"/>
        <w:szCs w:val="18"/>
      </w:rPr>
      <w:tab/>
      <w:t>Janvier 2016</w:t>
    </w:r>
  </w:p>
  <w:p w:rsidR="00B4358A" w:rsidRDefault="00B4358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F" w:rsidRDefault="003A2B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57"/>
    <w:multiLevelType w:val="hybridMultilevel"/>
    <w:tmpl w:val="5A280D5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B3C4808">
      <w:numFmt w:val="bullet"/>
      <w:lvlText w:val="•"/>
      <w:lvlJc w:val="left"/>
      <w:pPr>
        <w:ind w:left="2853" w:hanging="705"/>
      </w:pPr>
      <w:rPr>
        <w:rFonts w:ascii="Calibri" w:eastAsiaTheme="minorHAns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7D1976"/>
    <w:multiLevelType w:val="hybridMultilevel"/>
    <w:tmpl w:val="0ED664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87541C"/>
    <w:multiLevelType w:val="hybridMultilevel"/>
    <w:tmpl w:val="D75EEA16"/>
    <w:lvl w:ilvl="0" w:tplc="076C2D2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CA1"/>
    <w:multiLevelType w:val="hybridMultilevel"/>
    <w:tmpl w:val="BC5221F0"/>
    <w:lvl w:ilvl="0" w:tplc="7610A64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DB3780"/>
    <w:multiLevelType w:val="hybridMultilevel"/>
    <w:tmpl w:val="E3CEE4DA"/>
    <w:lvl w:ilvl="0" w:tplc="984886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2DF8"/>
    <w:multiLevelType w:val="hybridMultilevel"/>
    <w:tmpl w:val="8F900658"/>
    <w:lvl w:ilvl="0" w:tplc="64E28688">
      <w:start w:val="1"/>
      <w:numFmt w:val="bullet"/>
      <w:lvlText w:val=""/>
      <w:lvlJc w:val="left"/>
      <w:pPr>
        <w:ind w:left="360" w:hanging="360"/>
      </w:pPr>
      <w:rPr>
        <w:rFonts w:ascii="Wingdings 2" w:hAnsi="Wingdings 2" w:cs="Times New Roman" w:hint="default"/>
        <w:u w:color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11739A"/>
    <w:multiLevelType w:val="hybridMultilevel"/>
    <w:tmpl w:val="CA501E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4F1"/>
    <w:multiLevelType w:val="hybridMultilevel"/>
    <w:tmpl w:val="A5401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2131B"/>
    <w:multiLevelType w:val="hybridMultilevel"/>
    <w:tmpl w:val="2C643E5C"/>
    <w:lvl w:ilvl="0" w:tplc="984886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4243"/>
    <w:multiLevelType w:val="hybridMultilevel"/>
    <w:tmpl w:val="A0AA46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E82CD1"/>
    <w:multiLevelType w:val="hybridMultilevel"/>
    <w:tmpl w:val="075CC34C"/>
    <w:lvl w:ilvl="0" w:tplc="64E28688">
      <w:start w:val="1"/>
      <w:numFmt w:val="bullet"/>
      <w:lvlText w:val=""/>
      <w:lvlJc w:val="left"/>
      <w:pPr>
        <w:ind w:left="360" w:hanging="360"/>
      </w:pPr>
      <w:rPr>
        <w:rFonts w:ascii="Wingdings 2" w:hAnsi="Wingdings 2" w:cs="Times New Roman" w:hint="default"/>
        <w:u w:color="C00000"/>
      </w:rPr>
    </w:lvl>
    <w:lvl w:ilvl="1" w:tplc="BFDE1C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641211"/>
    <w:multiLevelType w:val="hybridMultilevel"/>
    <w:tmpl w:val="B1C8F2FC"/>
    <w:lvl w:ilvl="0" w:tplc="7610A6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A64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23E2B"/>
    <w:multiLevelType w:val="hybridMultilevel"/>
    <w:tmpl w:val="CD886856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7610A646">
      <w:start w:val="3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5E257683"/>
    <w:multiLevelType w:val="hybridMultilevel"/>
    <w:tmpl w:val="FBF82310"/>
    <w:lvl w:ilvl="0" w:tplc="951A6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043ED"/>
    <w:multiLevelType w:val="hybridMultilevel"/>
    <w:tmpl w:val="2BBC4F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B68"/>
    <w:rsid w:val="000506AF"/>
    <w:rsid w:val="001111EE"/>
    <w:rsid w:val="00140E13"/>
    <w:rsid w:val="001561F6"/>
    <w:rsid w:val="0019348E"/>
    <w:rsid w:val="001A0FA3"/>
    <w:rsid w:val="00211DA9"/>
    <w:rsid w:val="00232FFD"/>
    <w:rsid w:val="002966FB"/>
    <w:rsid w:val="002A2317"/>
    <w:rsid w:val="002D347F"/>
    <w:rsid w:val="00335B38"/>
    <w:rsid w:val="00350CD7"/>
    <w:rsid w:val="00352B14"/>
    <w:rsid w:val="00386BE3"/>
    <w:rsid w:val="003A2B7F"/>
    <w:rsid w:val="003E607B"/>
    <w:rsid w:val="004006B0"/>
    <w:rsid w:val="004B68E2"/>
    <w:rsid w:val="004C127B"/>
    <w:rsid w:val="004C3A7B"/>
    <w:rsid w:val="00551EE5"/>
    <w:rsid w:val="005D437D"/>
    <w:rsid w:val="005D5074"/>
    <w:rsid w:val="005E31E7"/>
    <w:rsid w:val="005E7090"/>
    <w:rsid w:val="005F2FC3"/>
    <w:rsid w:val="0061160C"/>
    <w:rsid w:val="00611CC0"/>
    <w:rsid w:val="00621C91"/>
    <w:rsid w:val="006516F8"/>
    <w:rsid w:val="00665A2E"/>
    <w:rsid w:val="00750595"/>
    <w:rsid w:val="0078164E"/>
    <w:rsid w:val="007A28DB"/>
    <w:rsid w:val="007C5F50"/>
    <w:rsid w:val="007C60E5"/>
    <w:rsid w:val="00881464"/>
    <w:rsid w:val="009062A1"/>
    <w:rsid w:val="00913025"/>
    <w:rsid w:val="00986FFF"/>
    <w:rsid w:val="009A0DE6"/>
    <w:rsid w:val="009D2EEE"/>
    <w:rsid w:val="009F57EF"/>
    <w:rsid w:val="009F610D"/>
    <w:rsid w:val="00A340A2"/>
    <w:rsid w:val="00A3505B"/>
    <w:rsid w:val="00A47B68"/>
    <w:rsid w:val="00AA0C6D"/>
    <w:rsid w:val="00B0796D"/>
    <w:rsid w:val="00B4358A"/>
    <w:rsid w:val="00B5492E"/>
    <w:rsid w:val="00B82A40"/>
    <w:rsid w:val="00BE74B8"/>
    <w:rsid w:val="00C25DF5"/>
    <w:rsid w:val="00C43911"/>
    <w:rsid w:val="00C9569C"/>
    <w:rsid w:val="00D03766"/>
    <w:rsid w:val="00D236B7"/>
    <w:rsid w:val="00D4628F"/>
    <w:rsid w:val="00DD36C7"/>
    <w:rsid w:val="00E325C8"/>
    <w:rsid w:val="00E372DA"/>
    <w:rsid w:val="00E71446"/>
    <w:rsid w:val="00E8392E"/>
    <w:rsid w:val="00F2590A"/>
    <w:rsid w:val="00F35732"/>
    <w:rsid w:val="00F5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B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9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4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58A"/>
  </w:style>
  <w:style w:type="paragraph" w:styleId="Pieddepage">
    <w:name w:val="footer"/>
    <w:basedOn w:val="Normal"/>
    <w:link w:val="PieddepageCar"/>
    <w:uiPriority w:val="99"/>
    <w:unhideWhenUsed/>
    <w:rsid w:val="00B4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58A"/>
  </w:style>
  <w:style w:type="table" w:styleId="Grilledutableau">
    <w:name w:val="Table Grid"/>
    <w:basedOn w:val="TableauNormal"/>
    <w:uiPriority w:val="59"/>
    <w:rsid w:val="00A3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6">
    <w:name w:val="Medium Grid 3 Accent 6"/>
    <w:basedOn w:val="TableauNormal"/>
    <w:uiPriority w:val="69"/>
    <w:rsid w:val="00A350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2-Accent6">
    <w:name w:val="Medium List 2 Accent 6"/>
    <w:basedOn w:val="TableauNormal"/>
    <w:uiPriority w:val="66"/>
    <w:rsid w:val="00335B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6">
    <w:name w:val="Medium Grid 2 Accent 6"/>
    <w:basedOn w:val="TableauNormal"/>
    <w:uiPriority w:val="68"/>
    <w:rsid w:val="00335B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A0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C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C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C6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6F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6F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6F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B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9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4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58A"/>
  </w:style>
  <w:style w:type="paragraph" w:styleId="Pieddepage">
    <w:name w:val="footer"/>
    <w:basedOn w:val="Normal"/>
    <w:link w:val="PieddepageCar"/>
    <w:uiPriority w:val="99"/>
    <w:unhideWhenUsed/>
    <w:rsid w:val="00B4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58A"/>
  </w:style>
  <w:style w:type="table" w:styleId="Grilledutableau">
    <w:name w:val="Table Grid"/>
    <w:basedOn w:val="TableauNormal"/>
    <w:uiPriority w:val="59"/>
    <w:rsid w:val="00A3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6">
    <w:name w:val="Medium Grid 3 Accent 6"/>
    <w:basedOn w:val="TableauNormal"/>
    <w:uiPriority w:val="69"/>
    <w:rsid w:val="00A350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2-Accent6">
    <w:name w:val="Medium List 2 Accent 6"/>
    <w:basedOn w:val="TableauNormal"/>
    <w:uiPriority w:val="66"/>
    <w:rsid w:val="00335B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6">
    <w:name w:val="Medium Grid 2 Accent 6"/>
    <w:basedOn w:val="TableauNormal"/>
    <w:uiPriority w:val="68"/>
    <w:rsid w:val="00335B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A0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C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C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C6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6F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6F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6F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5DE8-B85E-4103-B3F0-CD6BEAD9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1837</Words>
  <Characters>10108</Characters>
  <Application>Microsoft Office Word</Application>
  <DocSecurity>4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Marie-Helene PERRIN</dc:creator>
  <cp:lastModifiedBy>brigantfl</cp:lastModifiedBy>
  <cp:revision>2</cp:revision>
  <cp:lastPrinted>2016-01-25T18:28:00Z</cp:lastPrinted>
  <dcterms:created xsi:type="dcterms:W3CDTF">2016-02-22T09:06:00Z</dcterms:created>
  <dcterms:modified xsi:type="dcterms:W3CDTF">2016-02-22T09:06:00Z</dcterms:modified>
</cp:coreProperties>
</file>